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83A35" w14:textId="77777777" w:rsidR="0006178B" w:rsidRDefault="00D20FB5" w:rsidP="007B1D24">
      <w:pPr>
        <w:jc w:val="both"/>
      </w:pPr>
      <w:r>
        <w:t>Richard Dedekind is a German contribu</w:t>
      </w:r>
      <w:r w:rsidR="0006178B">
        <w:t>tor to algebraic number theory.</w:t>
      </w:r>
    </w:p>
    <w:p w14:paraId="05CDCD10" w14:textId="77777777" w:rsidR="0006178B" w:rsidRDefault="0006178B" w:rsidP="007B1D24">
      <w:pPr>
        <w:jc w:val="both"/>
      </w:pPr>
    </w:p>
    <w:p w14:paraId="43408F11" w14:textId="77777777" w:rsidR="0006178B" w:rsidRDefault="0006178B" w:rsidP="007B1D24">
      <w:pPr>
        <w:jc w:val="both"/>
      </w:pPr>
      <w:r>
        <w:t>He is known for Dedekind’s theorem:</w:t>
      </w:r>
    </w:p>
    <w:p w14:paraId="1EBD581E" w14:textId="77777777" w:rsidR="0006178B" w:rsidRDefault="0006178B" w:rsidP="007B1D24">
      <w:pPr>
        <w:jc w:val="both"/>
      </w:pPr>
    </w:p>
    <w:p w14:paraId="15E66E54" w14:textId="77777777" w:rsidR="0006178B" w:rsidRPr="0006178B" w:rsidRDefault="0006178B" w:rsidP="007B1D24">
      <w:pPr>
        <w:jc w:val="both"/>
        <w:rPr>
          <w:rFonts w:ascii="Times" w:eastAsia="Times New Roman" w:hAnsi="Times" w:cs="Times New Roman"/>
          <w:sz w:val="20"/>
          <w:szCs w:val="20"/>
        </w:rPr>
      </w:pPr>
      <w:r w:rsidRPr="0006178B">
        <w:rPr>
          <w:rFonts w:ascii="Helvetica" w:eastAsia="Times New Roman" w:hAnsi="Helvetica" w:cs="Times New Roman"/>
          <w:color w:val="222222"/>
          <w:sz w:val="21"/>
          <w:szCs w:val="21"/>
          <w:shd w:val="clear" w:color="auto" w:fill="FFFFFF"/>
        </w:rPr>
        <w:t>Dedekind's theorem</w:t>
      </w:r>
      <w:hyperlink r:id="rId6" w:anchor="cite_note-2" w:history="1">
        <w:r w:rsidRPr="0006178B">
          <w:rPr>
            <w:rFonts w:ascii="Helvetica" w:eastAsia="Times New Roman" w:hAnsi="Helvetica" w:cs="Times New Roman"/>
            <w:color w:val="0B0080"/>
            <w:sz w:val="17"/>
            <w:szCs w:val="17"/>
            <w:shd w:val="clear" w:color="auto" w:fill="FFFFFF"/>
            <w:vertAlign w:val="superscript"/>
          </w:rPr>
          <w:t>[2]</w:t>
        </w:r>
      </w:hyperlink>
      <w:r w:rsidRPr="0006178B">
        <w:rPr>
          <w:rFonts w:ascii="Helvetica" w:eastAsia="Times New Roman" w:hAnsi="Helvetica" w:cs="Times New Roman"/>
          <w:color w:val="222222"/>
          <w:sz w:val="21"/>
          <w:szCs w:val="21"/>
          <w:shd w:val="clear" w:color="auto" w:fill="FFFFFF"/>
        </w:rPr>
        <w:t> states that if there existed a </w:t>
      </w:r>
      <w:hyperlink r:id="rId7" w:tooltip="One-to-one correspondence" w:history="1">
        <w:r w:rsidRPr="0006178B">
          <w:rPr>
            <w:rFonts w:ascii="Helvetica" w:eastAsia="Times New Roman" w:hAnsi="Helvetica" w:cs="Times New Roman"/>
            <w:color w:val="0B0080"/>
            <w:sz w:val="21"/>
            <w:szCs w:val="21"/>
            <w:shd w:val="clear" w:color="auto" w:fill="FFFFFF"/>
          </w:rPr>
          <w:t>one-to-one correspondence</w:t>
        </w:r>
      </w:hyperlink>
      <w:r>
        <w:rPr>
          <w:rFonts w:ascii="Helvetica" w:eastAsia="Times New Roman" w:hAnsi="Helvetica" w:cs="Times New Roman"/>
          <w:color w:val="222222"/>
          <w:sz w:val="21"/>
          <w:szCs w:val="21"/>
          <w:shd w:val="clear" w:color="auto" w:fill="FFFFFF"/>
        </w:rPr>
        <w:t xml:space="preserve"> between two sets, then, </w:t>
      </w:r>
      <w:r w:rsidRPr="0006178B">
        <w:rPr>
          <w:rFonts w:ascii="Helvetica" w:eastAsia="Times New Roman" w:hAnsi="Helvetica" w:cs="Times New Roman"/>
          <w:color w:val="222222"/>
          <w:sz w:val="21"/>
          <w:szCs w:val="21"/>
          <w:shd w:val="clear" w:color="auto" w:fill="FFFFFF"/>
        </w:rPr>
        <w:t xml:space="preserve">the two sets were "similar". He invoked </w:t>
      </w:r>
      <w:r>
        <w:rPr>
          <w:rFonts w:ascii="Helvetica" w:eastAsia="Times New Roman" w:hAnsi="Helvetica" w:cs="Times New Roman"/>
          <w:color w:val="222222"/>
          <w:sz w:val="21"/>
          <w:szCs w:val="21"/>
          <w:shd w:val="clear" w:color="auto" w:fill="FFFFFF"/>
        </w:rPr>
        <w:t xml:space="preserve">this notion of </w:t>
      </w:r>
      <w:r w:rsidRPr="0006178B">
        <w:rPr>
          <w:rFonts w:ascii="Helvetica" w:eastAsia="Times New Roman" w:hAnsi="Helvetica" w:cs="Times New Roman"/>
          <w:color w:val="222222"/>
          <w:sz w:val="21"/>
          <w:szCs w:val="21"/>
          <w:shd w:val="clear" w:color="auto" w:fill="FFFFFF"/>
        </w:rPr>
        <w:t>similarity to give the first precise definition of an </w:t>
      </w:r>
      <w:hyperlink r:id="rId8" w:tooltip="Dedekind-infinite set" w:history="1">
        <w:r w:rsidRPr="0006178B">
          <w:rPr>
            <w:rFonts w:ascii="Helvetica" w:eastAsia="Times New Roman" w:hAnsi="Helvetica" w:cs="Times New Roman"/>
            <w:color w:val="0B0080"/>
            <w:sz w:val="21"/>
            <w:szCs w:val="21"/>
            <w:shd w:val="clear" w:color="auto" w:fill="FFFFFF"/>
          </w:rPr>
          <w:t>infinite set</w:t>
        </w:r>
      </w:hyperlink>
      <w:r w:rsidRPr="0006178B">
        <w:rPr>
          <w:rFonts w:ascii="Helvetica" w:eastAsia="Times New Roman" w:hAnsi="Helvetica" w:cs="Times New Roman"/>
          <w:color w:val="222222"/>
          <w:sz w:val="21"/>
          <w:szCs w:val="21"/>
          <w:shd w:val="clear" w:color="auto" w:fill="FFFFFF"/>
        </w:rPr>
        <w:t xml:space="preserve">: a set is infinite when it is "similar to a proper part of itself," </w:t>
      </w:r>
      <w:r>
        <w:rPr>
          <w:rFonts w:ascii="Helvetica" w:eastAsia="Times New Roman" w:hAnsi="Helvetica" w:cs="Times New Roman"/>
          <w:color w:val="222222"/>
          <w:sz w:val="21"/>
          <w:szCs w:val="21"/>
          <w:shd w:val="clear" w:color="auto" w:fill="FFFFFF"/>
        </w:rPr>
        <w:t xml:space="preserve">i.e. when it </w:t>
      </w:r>
      <w:r w:rsidRPr="0006178B">
        <w:rPr>
          <w:rFonts w:ascii="Helvetica" w:eastAsia="Times New Roman" w:hAnsi="Helvetica" w:cs="Times New Roman"/>
          <w:color w:val="222222"/>
          <w:sz w:val="21"/>
          <w:szCs w:val="21"/>
          <w:shd w:val="clear" w:color="auto" w:fill="FFFFFF"/>
        </w:rPr>
        <w:t>is </w:t>
      </w:r>
      <w:hyperlink r:id="rId9" w:tooltip="Equinumerous" w:history="1">
        <w:proofErr w:type="spellStart"/>
        <w:r w:rsidRPr="0006178B">
          <w:rPr>
            <w:rFonts w:ascii="Helvetica" w:eastAsia="Times New Roman" w:hAnsi="Helvetica" w:cs="Times New Roman"/>
            <w:color w:val="0B0080"/>
            <w:sz w:val="21"/>
            <w:szCs w:val="21"/>
            <w:shd w:val="clear" w:color="auto" w:fill="FFFFFF"/>
          </w:rPr>
          <w:t>equinumerous</w:t>
        </w:r>
        <w:proofErr w:type="spellEnd"/>
      </w:hyperlink>
      <w:r w:rsidRPr="0006178B">
        <w:rPr>
          <w:rFonts w:ascii="Helvetica" w:eastAsia="Times New Roman" w:hAnsi="Helvetica" w:cs="Times New Roman"/>
          <w:color w:val="222222"/>
          <w:sz w:val="21"/>
          <w:szCs w:val="21"/>
          <w:shd w:val="clear" w:color="auto" w:fill="FFFFFF"/>
        </w:rPr>
        <w:t> to one of its </w:t>
      </w:r>
      <w:hyperlink r:id="rId10" w:tooltip="Subset" w:history="1">
        <w:r w:rsidRPr="0006178B">
          <w:rPr>
            <w:rFonts w:ascii="Helvetica" w:eastAsia="Times New Roman" w:hAnsi="Helvetica" w:cs="Times New Roman"/>
            <w:color w:val="0B0080"/>
            <w:sz w:val="21"/>
            <w:szCs w:val="21"/>
            <w:shd w:val="clear" w:color="auto" w:fill="FFFFFF"/>
          </w:rPr>
          <w:t>proper subsets</w:t>
        </w:r>
      </w:hyperlink>
      <w:r w:rsidRPr="0006178B">
        <w:rPr>
          <w:rFonts w:ascii="Helvetica" w:eastAsia="Times New Roman" w:hAnsi="Helvetica" w:cs="Times New Roman"/>
          <w:color w:val="222222"/>
          <w:sz w:val="21"/>
          <w:szCs w:val="21"/>
          <w:shd w:val="clear" w:color="auto" w:fill="FFFFFF"/>
        </w:rPr>
        <w:t>.</w:t>
      </w:r>
    </w:p>
    <w:p w14:paraId="4423563F" w14:textId="77777777" w:rsidR="0006178B" w:rsidRDefault="0006178B" w:rsidP="007B1D24">
      <w:pPr>
        <w:jc w:val="both"/>
      </w:pPr>
    </w:p>
    <w:p w14:paraId="7FF32AD4" w14:textId="77777777" w:rsidR="0006178B" w:rsidRPr="0006178B" w:rsidRDefault="0006178B" w:rsidP="007B1D24">
      <w:pPr>
        <w:jc w:val="both"/>
        <w:rPr>
          <w:rFonts w:ascii="Times" w:eastAsia="Times New Roman" w:hAnsi="Times" w:cs="Times New Roman"/>
          <w:sz w:val="20"/>
          <w:szCs w:val="20"/>
        </w:rPr>
      </w:pPr>
      <w:r>
        <w:rPr>
          <w:rFonts w:ascii="Helvetica" w:eastAsia="Times New Roman" w:hAnsi="Helvetica" w:cs="Times New Roman"/>
          <w:color w:val="222222"/>
          <w:sz w:val="21"/>
          <w:szCs w:val="21"/>
          <w:shd w:val="clear" w:color="auto" w:fill="FFFFFF"/>
        </w:rPr>
        <w:t>I</w:t>
      </w:r>
      <w:r w:rsidRPr="0006178B">
        <w:rPr>
          <w:rFonts w:ascii="Helvetica" w:eastAsia="Times New Roman" w:hAnsi="Helvetica" w:cs="Times New Roman"/>
          <w:color w:val="222222"/>
          <w:sz w:val="21"/>
          <w:szCs w:val="21"/>
          <w:shd w:val="clear" w:color="auto" w:fill="FFFFFF"/>
        </w:rPr>
        <w:t xml:space="preserve">n 1888, </w:t>
      </w:r>
      <w:r>
        <w:rPr>
          <w:rFonts w:ascii="Helvetica" w:eastAsia="Times New Roman" w:hAnsi="Helvetica" w:cs="Times New Roman"/>
          <w:color w:val="222222"/>
          <w:sz w:val="21"/>
          <w:szCs w:val="21"/>
          <w:shd w:val="clear" w:color="auto" w:fill="FFFFFF"/>
        </w:rPr>
        <w:t>Dedekind</w:t>
      </w:r>
      <w:r w:rsidRPr="0006178B">
        <w:rPr>
          <w:rFonts w:ascii="Helvetica" w:eastAsia="Times New Roman" w:hAnsi="Helvetica" w:cs="Times New Roman"/>
          <w:color w:val="222222"/>
          <w:sz w:val="21"/>
          <w:szCs w:val="21"/>
          <w:shd w:val="clear" w:color="auto" w:fill="FFFFFF"/>
        </w:rPr>
        <w:t xml:space="preserve"> published a short monograph titled </w:t>
      </w:r>
      <w:proofErr w:type="gramStart"/>
      <w:r w:rsidRPr="0006178B">
        <w:rPr>
          <w:rFonts w:ascii="Helvetica" w:eastAsia="Times New Roman" w:hAnsi="Helvetica" w:cs="Times New Roman"/>
          <w:i/>
          <w:iCs/>
          <w:color w:val="222222"/>
          <w:sz w:val="21"/>
          <w:szCs w:val="21"/>
          <w:shd w:val="clear" w:color="auto" w:fill="FFFFFF"/>
        </w:rPr>
        <w:t>Was</w:t>
      </w:r>
      <w:proofErr w:type="gramEnd"/>
      <w:r w:rsidRPr="0006178B">
        <w:rPr>
          <w:rFonts w:ascii="Helvetica" w:eastAsia="Times New Roman" w:hAnsi="Helvetica" w:cs="Times New Roman"/>
          <w:i/>
          <w:iCs/>
          <w:color w:val="222222"/>
          <w:sz w:val="21"/>
          <w:szCs w:val="21"/>
          <w:shd w:val="clear" w:color="auto" w:fill="FFFFFF"/>
        </w:rPr>
        <w:t xml:space="preserve"> </w:t>
      </w:r>
      <w:proofErr w:type="spellStart"/>
      <w:r w:rsidRPr="0006178B">
        <w:rPr>
          <w:rFonts w:ascii="Helvetica" w:eastAsia="Times New Roman" w:hAnsi="Helvetica" w:cs="Times New Roman"/>
          <w:i/>
          <w:iCs/>
          <w:color w:val="222222"/>
          <w:sz w:val="21"/>
          <w:szCs w:val="21"/>
          <w:shd w:val="clear" w:color="auto" w:fill="FFFFFF"/>
        </w:rPr>
        <w:t>sind</w:t>
      </w:r>
      <w:proofErr w:type="spellEnd"/>
      <w:r w:rsidRPr="0006178B">
        <w:rPr>
          <w:rFonts w:ascii="Helvetica" w:eastAsia="Times New Roman" w:hAnsi="Helvetica" w:cs="Times New Roman"/>
          <w:i/>
          <w:iCs/>
          <w:color w:val="222222"/>
          <w:sz w:val="21"/>
          <w:szCs w:val="21"/>
          <w:shd w:val="clear" w:color="auto" w:fill="FFFFFF"/>
        </w:rPr>
        <w:t xml:space="preserve"> und was </w:t>
      </w:r>
      <w:proofErr w:type="spellStart"/>
      <w:r w:rsidRPr="0006178B">
        <w:rPr>
          <w:rFonts w:ascii="Helvetica" w:eastAsia="Times New Roman" w:hAnsi="Helvetica" w:cs="Times New Roman"/>
          <w:i/>
          <w:iCs/>
          <w:color w:val="222222"/>
          <w:sz w:val="21"/>
          <w:szCs w:val="21"/>
          <w:shd w:val="clear" w:color="auto" w:fill="FFFFFF"/>
        </w:rPr>
        <w:t>sollen</w:t>
      </w:r>
      <w:proofErr w:type="spellEnd"/>
      <w:r w:rsidRPr="0006178B">
        <w:rPr>
          <w:rFonts w:ascii="Helvetica" w:eastAsia="Times New Roman" w:hAnsi="Helvetica" w:cs="Times New Roman"/>
          <w:i/>
          <w:iCs/>
          <w:color w:val="222222"/>
          <w:sz w:val="21"/>
          <w:szCs w:val="21"/>
          <w:shd w:val="clear" w:color="auto" w:fill="FFFFFF"/>
        </w:rPr>
        <w:t xml:space="preserve"> die </w:t>
      </w:r>
      <w:proofErr w:type="spellStart"/>
      <w:r w:rsidRPr="0006178B">
        <w:rPr>
          <w:rFonts w:ascii="Helvetica" w:eastAsia="Times New Roman" w:hAnsi="Helvetica" w:cs="Times New Roman"/>
          <w:i/>
          <w:iCs/>
          <w:color w:val="222222"/>
          <w:sz w:val="21"/>
          <w:szCs w:val="21"/>
          <w:shd w:val="clear" w:color="auto" w:fill="FFFFFF"/>
        </w:rPr>
        <w:t>Zahlen</w:t>
      </w:r>
      <w:proofErr w:type="spellEnd"/>
      <w:r w:rsidRPr="0006178B">
        <w:rPr>
          <w:rFonts w:ascii="Helvetica" w:eastAsia="Times New Roman" w:hAnsi="Helvetica" w:cs="Times New Roman"/>
          <w:i/>
          <w:iCs/>
          <w:color w:val="222222"/>
          <w:sz w:val="21"/>
          <w:szCs w:val="21"/>
          <w:shd w:val="clear" w:color="auto" w:fill="FFFFFF"/>
        </w:rPr>
        <w:t>?</w:t>
      </w:r>
      <w:r w:rsidRPr="0006178B">
        <w:rPr>
          <w:rFonts w:ascii="Helvetica" w:eastAsia="Times New Roman" w:hAnsi="Helvetica" w:cs="Times New Roman"/>
          <w:color w:val="222222"/>
          <w:sz w:val="21"/>
          <w:szCs w:val="21"/>
          <w:shd w:val="clear" w:color="auto" w:fill="FFFFFF"/>
        </w:rPr>
        <w:t xml:space="preserve"> ("What are numbers and what should they be?" </w:t>
      </w:r>
      <w:proofErr w:type="spellStart"/>
      <w:r w:rsidRPr="0006178B">
        <w:rPr>
          <w:rFonts w:ascii="Helvetica" w:eastAsia="Times New Roman" w:hAnsi="Helvetica" w:cs="Times New Roman"/>
          <w:color w:val="222222"/>
          <w:sz w:val="21"/>
          <w:szCs w:val="21"/>
          <w:shd w:val="clear" w:color="auto" w:fill="FFFFFF"/>
        </w:rPr>
        <w:t>Ewald</w:t>
      </w:r>
      <w:proofErr w:type="spellEnd"/>
      <w:r w:rsidRPr="0006178B">
        <w:rPr>
          <w:rFonts w:ascii="Helvetica" w:eastAsia="Times New Roman" w:hAnsi="Helvetica" w:cs="Times New Roman"/>
          <w:color w:val="222222"/>
          <w:sz w:val="21"/>
          <w:szCs w:val="21"/>
          <w:shd w:val="clear" w:color="auto" w:fill="FFFFFF"/>
        </w:rPr>
        <w:t xml:space="preserve"> 1996: 790),</w:t>
      </w:r>
      <w:hyperlink r:id="rId11" w:anchor="cite_note-3" w:history="1">
        <w:r w:rsidRPr="0006178B">
          <w:rPr>
            <w:rFonts w:ascii="Helvetica" w:eastAsia="Times New Roman" w:hAnsi="Helvetica" w:cs="Times New Roman"/>
            <w:color w:val="0B0080"/>
            <w:sz w:val="17"/>
            <w:szCs w:val="17"/>
            <w:shd w:val="clear" w:color="auto" w:fill="FFFFFF"/>
            <w:vertAlign w:val="superscript"/>
          </w:rPr>
          <w:t>[3]</w:t>
        </w:r>
      </w:hyperlink>
      <w:proofErr w:type="gramStart"/>
      <w:r w:rsidRPr="0006178B">
        <w:rPr>
          <w:rFonts w:ascii="Helvetica" w:eastAsia="Times New Roman" w:hAnsi="Helvetica" w:cs="Times New Roman"/>
          <w:color w:val="222222"/>
          <w:sz w:val="21"/>
          <w:szCs w:val="21"/>
          <w:shd w:val="clear" w:color="auto" w:fill="FFFFFF"/>
        </w:rPr>
        <w:t> which</w:t>
      </w:r>
      <w:proofErr w:type="gramEnd"/>
      <w:r w:rsidRPr="0006178B">
        <w:rPr>
          <w:rFonts w:ascii="Helvetica" w:eastAsia="Times New Roman" w:hAnsi="Helvetica" w:cs="Times New Roman"/>
          <w:color w:val="222222"/>
          <w:sz w:val="21"/>
          <w:szCs w:val="21"/>
          <w:shd w:val="clear" w:color="auto" w:fill="FFFFFF"/>
        </w:rPr>
        <w:t xml:space="preserve"> included his definition of an </w:t>
      </w:r>
      <w:hyperlink r:id="rId12" w:tooltip="Infinite set" w:history="1">
        <w:r w:rsidRPr="0006178B">
          <w:rPr>
            <w:rFonts w:ascii="Helvetica" w:eastAsia="Times New Roman" w:hAnsi="Helvetica" w:cs="Times New Roman"/>
            <w:color w:val="0B0080"/>
            <w:sz w:val="21"/>
            <w:szCs w:val="21"/>
            <w:shd w:val="clear" w:color="auto" w:fill="FFFFFF"/>
          </w:rPr>
          <w:t>infinite set</w:t>
        </w:r>
      </w:hyperlink>
      <w:r w:rsidRPr="0006178B">
        <w:rPr>
          <w:rFonts w:ascii="Helvetica" w:eastAsia="Times New Roman" w:hAnsi="Helvetica" w:cs="Times New Roman"/>
          <w:color w:val="222222"/>
          <w:sz w:val="21"/>
          <w:szCs w:val="21"/>
          <w:shd w:val="clear" w:color="auto" w:fill="FFFFFF"/>
        </w:rPr>
        <w:t>. </w:t>
      </w:r>
    </w:p>
    <w:p w14:paraId="2EBEF7C9" w14:textId="77777777" w:rsidR="0006178B" w:rsidRDefault="0006178B" w:rsidP="007B1D24">
      <w:pPr>
        <w:jc w:val="both"/>
      </w:pPr>
    </w:p>
    <w:p w14:paraId="6F349BBB" w14:textId="77777777" w:rsidR="00E05EF3" w:rsidRDefault="0006178B" w:rsidP="007B1D24">
      <w:pPr>
        <w:jc w:val="both"/>
      </w:pPr>
      <w:r>
        <w:t>I</w:t>
      </w:r>
      <w:r w:rsidR="00D20FB5">
        <w:t>n 1890</w:t>
      </w:r>
      <w:r>
        <w:t>, he</w:t>
      </w:r>
      <w:r w:rsidR="00D20FB5">
        <w:t xml:space="preserve"> engaged in a correspondence with Hans </w:t>
      </w:r>
      <w:proofErr w:type="spellStart"/>
      <w:r w:rsidR="00D20FB5">
        <w:t>Keferstein</w:t>
      </w:r>
      <w:proofErr w:type="spellEnd"/>
      <w:r w:rsidR="00D20FB5">
        <w:t xml:space="preserve">, a philosophically interested teacher who had published some objections to </w:t>
      </w:r>
      <w:r w:rsidR="00DC7217">
        <w:t>Dedekind’s work in a paper on the notion of number.</w:t>
      </w:r>
    </w:p>
    <w:p w14:paraId="50473A3C" w14:textId="77777777" w:rsidR="00DC7217" w:rsidRDefault="00DC7217" w:rsidP="007B1D24">
      <w:pPr>
        <w:jc w:val="both"/>
      </w:pPr>
    </w:p>
    <w:p w14:paraId="5791FFD0" w14:textId="77777777" w:rsidR="0006178B" w:rsidRDefault="00DC7217" w:rsidP="007B1D24">
      <w:pPr>
        <w:jc w:val="both"/>
      </w:pPr>
      <w:proofErr w:type="spellStart"/>
      <w:r>
        <w:t>Keferstein’s</w:t>
      </w:r>
      <w:proofErr w:type="spellEnd"/>
      <w:r>
        <w:t xml:space="preserve"> paper was published in the yearly reports of the Hamburg Mathematical Society. </w:t>
      </w:r>
    </w:p>
    <w:p w14:paraId="170FBD9C" w14:textId="77777777" w:rsidR="0006178B" w:rsidRDefault="0006178B" w:rsidP="007B1D24">
      <w:pPr>
        <w:jc w:val="both"/>
      </w:pPr>
    </w:p>
    <w:p w14:paraId="51E9C47D" w14:textId="77777777" w:rsidR="00DC7217" w:rsidRDefault="0006178B" w:rsidP="007B1D24">
      <w:pPr>
        <w:jc w:val="both"/>
      </w:pPr>
      <w:r>
        <w:t xml:space="preserve">The </w:t>
      </w:r>
      <w:r w:rsidR="00DC7217">
        <w:t>lette</w:t>
      </w:r>
      <w:r>
        <w:t xml:space="preserve">r, which we discuss </w:t>
      </w:r>
      <w:proofErr w:type="gramStart"/>
      <w:r>
        <w:t>today</w:t>
      </w:r>
      <w:proofErr w:type="gramEnd"/>
      <w:r>
        <w:t xml:space="preserve"> was Dedekind’s </w:t>
      </w:r>
      <w:r w:rsidR="00DC7217">
        <w:t xml:space="preserve">response to </w:t>
      </w:r>
      <w:proofErr w:type="spellStart"/>
      <w:r w:rsidR="00DC7217">
        <w:t>Keferstein’s</w:t>
      </w:r>
      <w:proofErr w:type="spellEnd"/>
      <w:r w:rsidR="00DC7217">
        <w:t xml:space="preserve"> paper. The correspondence between the two is kept in the State and University Library of Lower Saxony at the University of </w:t>
      </w:r>
      <w:proofErr w:type="spellStart"/>
      <w:r w:rsidR="00DC7217">
        <w:t>Göttingen</w:t>
      </w:r>
      <w:proofErr w:type="spellEnd"/>
      <w:r w:rsidR="00DC7217">
        <w:t xml:space="preserve">. </w:t>
      </w:r>
    </w:p>
    <w:p w14:paraId="1023DFCE" w14:textId="77777777" w:rsidR="007A7134" w:rsidRDefault="007A7134" w:rsidP="007B1D24">
      <w:pPr>
        <w:jc w:val="both"/>
      </w:pPr>
    </w:p>
    <w:p w14:paraId="4B4DA6FF" w14:textId="77777777" w:rsidR="007A7134" w:rsidRDefault="007A7134" w:rsidP="007B1D24">
      <w:pPr>
        <w:jc w:val="both"/>
      </w:pPr>
      <w:r>
        <w:t xml:space="preserve">I shall draw attention below too some of the passages I consider relevant in the letter </w:t>
      </w:r>
    </w:p>
    <w:p w14:paraId="7D0C5136" w14:textId="77777777" w:rsidR="007A7134" w:rsidRDefault="007A7134" w:rsidP="007B1D24">
      <w:pPr>
        <w:jc w:val="both"/>
      </w:pPr>
    </w:p>
    <w:p w14:paraId="5C9476E2" w14:textId="77777777" w:rsidR="007A7134" w:rsidRPr="007B1D24" w:rsidRDefault="007A7134" w:rsidP="007B1D24">
      <w:pPr>
        <w:jc w:val="both"/>
        <w:rPr>
          <w:color w:val="FF0000"/>
        </w:rPr>
      </w:pPr>
      <w:r w:rsidRPr="007B1D24">
        <w:rPr>
          <w:color w:val="FF0000"/>
        </w:rPr>
        <w:t xml:space="preserve">“My dear Doctor, </w:t>
      </w:r>
    </w:p>
    <w:p w14:paraId="46A19617" w14:textId="77777777" w:rsidR="007A7134" w:rsidRPr="007B1D24" w:rsidRDefault="007A7134" w:rsidP="007B1D24">
      <w:pPr>
        <w:jc w:val="both"/>
        <w:rPr>
          <w:color w:val="FF0000"/>
        </w:rPr>
      </w:pPr>
    </w:p>
    <w:p w14:paraId="4007CFF7" w14:textId="7EDAC197" w:rsidR="007A7134" w:rsidRPr="007B1D24" w:rsidRDefault="007A7134" w:rsidP="007B1D24">
      <w:pPr>
        <w:jc w:val="both"/>
        <w:rPr>
          <w:color w:val="FF0000"/>
        </w:rPr>
      </w:pPr>
      <w:r w:rsidRPr="007B1D24">
        <w:rPr>
          <w:color w:val="FF0000"/>
        </w:rPr>
        <w:t>[…] I should like to ask you to lend your attention to the following train of thought, which constitutes the genesis of my essay […it is] based upon a prio</w:t>
      </w:r>
      <w:r w:rsidR="007B1D24" w:rsidRPr="007B1D24">
        <w:rPr>
          <w:color w:val="FF0000"/>
        </w:rPr>
        <w:t>r analysis of the sequence of na</w:t>
      </w:r>
      <w:r w:rsidRPr="007B1D24">
        <w:rPr>
          <w:color w:val="FF0000"/>
        </w:rPr>
        <w:t>tural numbers just as it presents itself, in experience, so to speak, for our consideration.</w:t>
      </w:r>
    </w:p>
    <w:p w14:paraId="06C207E2" w14:textId="77777777" w:rsidR="007A7134" w:rsidRPr="007B1D24" w:rsidRDefault="007A7134" w:rsidP="007B1D24">
      <w:pPr>
        <w:jc w:val="both"/>
        <w:rPr>
          <w:color w:val="FF0000"/>
        </w:rPr>
      </w:pPr>
    </w:p>
    <w:p w14:paraId="5CB511B6" w14:textId="77777777" w:rsidR="007A7134" w:rsidRPr="007B1D24" w:rsidRDefault="007A7134" w:rsidP="007B1D24">
      <w:pPr>
        <w:jc w:val="both"/>
        <w:rPr>
          <w:color w:val="FF0000"/>
        </w:rPr>
      </w:pPr>
      <w:r w:rsidRPr="007B1D24">
        <w:rPr>
          <w:color w:val="FF0000"/>
        </w:rPr>
        <w:t xml:space="preserve">What are the mutually independent fundamental properties of the sequence N, that is those properties that are not derivable from one another but from which all others follow? </w:t>
      </w:r>
    </w:p>
    <w:p w14:paraId="29755E31" w14:textId="77777777" w:rsidR="007A7134" w:rsidRPr="007B1D24" w:rsidRDefault="007A7134" w:rsidP="007B1D24">
      <w:pPr>
        <w:jc w:val="both"/>
        <w:rPr>
          <w:color w:val="FF0000"/>
        </w:rPr>
      </w:pPr>
    </w:p>
    <w:p w14:paraId="16AB46EF" w14:textId="77777777" w:rsidR="007A7134" w:rsidRPr="007B1D24" w:rsidRDefault="007A7134" w:rsidP="007B1D24">
      <w:pPr>
        <w:jc w:val="both"/>
        <w:rPr>
          <w:color w:val="FF0000"/>
        </w:rPr>
      </w:pPr>
      <w:r w:rsidRPr="007B1D24">
        <w:rPr>
          <w:color w:val="FF0000"/>
        </w:rPr>
        <w:t>How should we divest these properties of their specifically arithmetic character so that they are subsumed under more general notions and under activities of the understanding without which no thinking is possible at all but with which a foundation is provided for the reliability and completeness of proofs and for the construction of consistent notions and definitions?</w:t>
      </w:r>
    </w:p>
    <w:p w14:paraId="43CCFD17" w14:textId="77777777" w:rsidR="007A7134" w:rsidRDefault="007A7134" w:rsidP="007B1D24">
      <w:pPr>
        <w:jc w:val="both"/>
      </w:pPr>
    </w:p>
    <w:p w14:paraId="2A163306" w14:textId="77777777" w:rsidR="007A7134" w:rsidRDefault="007A7134" w:rsidP="007B1D24">
      <w:pPr>
        <w:jc w:val="both"/>
      </w:pPr>
      <w:r>
        <w:t>[…]</w:t>
      </w:r>
    </w:p>
    <w:p w14:paraId="30B03496" w14:textId="77777777" w:rsidR="007A7134" w:rsidRDefault="007A7134" w:rsidP="007B1D24">
      <w:pPr>
        <w:jc w:val="both"/>
      </w:pPr>
    </w:p>
    <w:p w14:paraId="72DE3C4D" w14:textId="77777777" w:rsidR="007A7134" w:rsidRPr="007B1D24" w:rsidRDefault="007A7134" w:rsidP="007B1D24">
      <w:pPr>
        <w:jc w:val="both"/>
        <w:rPr>
          <w:color w:val="FF0000"/>
        </w:rPr>
      </w:pPr>
      <w:r w:rsidRPr="007B1D24">
        <w:rPr>
          <w:color w:val="FF0000"/>
        </w:rPr>
        <w:t xml:space="preserve">4) Not every number is a successor n’; in other words </w:t>
      </w:r>
      <w:proofErr w:type="gramStart"/>
      <w:r w:rsidRPr="007B1D24">
        <w:rPr>
          <w:color w:val="FF0000"/>
        </w:rPr>
        <w:t>phi(</w:t>
      </w:r>
      <w:proofErr w:type="gramEnd"/>
      <w:r w:rsidRPr="007B1D24">
        <w:rPr>
          <w:color w:val="FF0000"/>
        </w:rPr>
        <w:t xml:space="preserve">N) is a proper part of N. This (together with the preceding) is what makes the number sequence N infinite. </w:t>
      </w:r>
    </w:p>
    <w:p w14:paraId="52BC3FB2" w14:textId="77777777" w:rsidR="007A7134" w:rsidRDefault="007A7134" w:rsidP="007B1D24">
      <w:pPr>
        <w:jc w:val="both"/>
      </w:pPr>
    </w:p>
    <w:p w14:paraId="1AE474E5" w14:textId="79B7B75C" w:rsidR="007A7134" w:rsidRDefault="00460FF5" w:rsidP="007B1D24">
      <w:pPr>
        <w:jc w:val="both"/>
      </w:pPr>
      <w:r>
        <w:lastRenderedPageBreak/>
        <w:t>[…]</w:t>
      </w:r>
    </w:p>
    <w:p w14:paraId="5CE93589" w14:textId="77777777" w:rsidR="00460FF5" w:rsidRDefault="00460FF5" w:rsidP="007B1D24">
      <w:pPr>
        <w:jc w:val="both"/>
      </w:pPr>
    </w:p>
    <w:p w14:paraId="1CD8E8DA" w14:textId="3A952896" w:rsidR="00C14200" w:rsidRPr="007B1D24" w:rsidRDefault="00460FF5" w:rsidP="007B1D24">
      <w:pPr>
        <w:jc w:val="both"/>
        <w:rPr>
          <w:color w:val="FF0000"/>
        </w:rPr>
      </w:pPr>
      <w:r w:rsidRPr="007B1D24">
        <w:rPr>
          <w:color w:val="FF0000"/>
        </w:rPr>
        <w:t xml:space="preserve">6) I have shown in my reply, however, that these facts are still far from </w:t>
      </w:r>
      <w:proofErr w:type="spellStart"/>
      <w:r w:rsidRPr="007B1D24">
        <w:rPr>
          <w:color w:val="FF0000"/>
        </w:rPr>
        <w:t>bein</w:t>
      </w:r>
      <w:proofErr w:type="spellEnd"/>
      <w:r w:rsidRPr="007B1D24">
        <w:rPr>
          <w:color w:val="FF0000"/>
        </w:rPr>
        <w:t xml:space="preserve"> adequate for completely characterizing the nature of the number sequence N. All these facts would hold also for every system S that, besides the number sequence N, contained a system T of arbitrary additional elements t, to which the mapping phi could always be extended while remaining similar and satisfying </w:t>
      </w:r>
      <w:proofErr w:type="gramStart"/>
      <w:r w:rsidR="00C14200" w:rsidRPr="007B1D24">
        <w:rPr>
          <w:color w:val="FF0000"/>
        </w:rPr>
        <w:t>phi(</w:t>
      </w:r>
      <w:proofErr w:type="gramEnd"/>
      <w:r w:rsidR="00C14200" w:rsidRPr="007B1D24">
        <w:rPr>
          <w:color w:val="FF0000"/>
        </w:rPr>
        <w:t>T) = T. But such a system S is obviously something quite different from our number sequence N, and I could so choose it that scarcely a single theorem of arithmetic would be preserved in it.”</w:t>
      </w:r>
    </w:p>
    <w:p w14:paraId="2791D8C1" w14:textId="77777777" w:rsidR="00C14200" w:rsidRPr="007B1D24" w:rsidRDefault="00C14200" w:rsidP="007B1D24">
      <w:pPr>
        <w:jc w:val="both"/>
        <w:rPr>
          <w:color w:val="FF0000"/>
        </w:rPr>
      </w:pPr>
    </w:p>
    <w:p w14:paraId="0742D73D" w14:textId="77777777" w:rsidR="00C14200" w:rsidRPr="007B1D24" w:rsidRDefault="00C14200" w:rsidP="007B1D24">
      <w:pPr>
        <w:jc w:val="both"/>
        <w:rPr>
          <w:rFonts w:ascii="Lucida Grande" w:hAnsi="Lucida Grande" w:cs="Lucida Grande"/>
          <w:b/>
          <w:color w:val="548DD4" w:themeColor="text2" w:themeTint="99"/>
        </w:rPr>
      </w:pPr>
      <w:r w:rsidRPr="00C14200">
        <w:rPr>
          <w:rFonts w:ascii="Lucida Grande" w:hAnsi="Lucida Grande" w:cs="Lucida Grande"/>
          <w:color w:val="548DD4" w:themeColor="text2" w:themeTint="99"/>
        </w:rPr>
        <w:t xml:space="preserve">So the question is, what distinguishes the number sequence N and its elements n from a system T of arbitrary additional elements t. </w:t>
      </w:r>
      <w:r w:rsidRPr="007B1D24">
        <w:rPr>
          <w:rFonts w:ascii="Lucida Grande" w:hAnsi="Lucida Grande" w:cs="Lucida Grande"/>
          <w:b/>
          <w:color w:val="548DD4" w:themeColor="text2" w:themeTint="99"/>
        </w:rPr>
        <w:t xml:space="preserve">What is number? </w:t>
      </w:r>
    </w:p>
    <w:p w14:paraId="27B52C0C" w14:textId="77777777" w:rsidR="00C14200" w:rsidRDefault="00C14200" w:rsidP="007B1D24">
      <w:pPr>
        <w:jc w:val="both"/>
        <w:rPr>
          <w:rFonts w:ascii="Lucida Grande" w:hAnsi="Lucida Grande" w:cs="Lucida Grande"/>
          <w:color w:val="000000"/>
        </w:rPr>
      </w:pPr>
    </w:p>
    <w:p w14:paraId="21353F01" w14:textId="5A06F67F" w:rsidR="00C14200" w:rsidRPr="007B1D24" w:rsidRDefault="00C14200" w:rsidP="007B1D24">
      <w:pPr>
        <w:jc w:val="both"/>
        <w:rPr>
          <w:rFonts w:ascii="Cambria" w:hAnsi="Cambria" w:cs="Lucida Grande"/>
          <w:color w:val="FF0000"/>
        </w:rPr>
      </w:pPr>
      <w:r w:rsidRPr="007B1D24">
        <w:rPr>
          <w:rFonts w:ascii="Cambria" w:hAnsi="Cambria" w:cs="Lucida Grande"/>
          <w:color w:val="FF0000"/>
        </w:rPr>
        <w:t>"What then must we add to the facts in order to cleanse our system of such alien intruders t as disturb order in order to restrict it to N?</w:t>
      </w:r>
    </w:p>
    <w:p w14:paraId="582B53D5" w14:textId="77777777" w:rsidR="00C14200" w:rsidRDefault="00C14200" w:rsidP="007B1D24">
      <w:pPr>
        <w:jc w:val="both"/>
        <w:rPr>
          <w:rFonts w:ascii="Cambria" w:hAnsi="Cambria" w:cs="Lucida Grande"/>
          <w:color w:val="000000"/>
        </w:rPr>
      </w:pPr>
    </w:p>
    <w:p w14:paraId="113BE939" w14:textId="49645097" w:rsidR="00C14200" w:rsidRDefault="00C14200" w:rsidP="007B1D24">
      <w:pPr>
        <w:jc w:val="both"/>
        <w:rPr>
          <w:rFonts w:ascii="Cambria" w:hAnsi="Cambria" w:cs="Lucida Grande"/>
          <w:color w:val="000000"/>
        </w:rPr>
      </w:pPr>
      <w:r>
        <w:rPr>
          <w:rFonts w:ascii="Cambria" w:hAnsi="Cambria" w:cs="Lucida Grande"/>
          <w:color w:val="000000"/>
        </w:rPr>
        <w:t>[…]</w:t>
      </w:r>
    </w:p>
    <w:p w14:paraId="282909A9" w14:textId="77777777" w:rsidR="00C14200" w:rsidRDefault="00C14200" w:rsidP="007B1D24">
      <w:pPr>
        <w:jc w:val="both"/>
        <w:rPr>
          <w:rFonts w:ascii="Cambria" w:hAnsi="Cambria" w:cs="Lucida Grande"/>
          <w:color w:val="000000"/>
        </w:rPr>
      </w:pPr>
    </w:p>
    <w:p w14:paraId="40DD599E" w14:textId="77777777" w:rsidR="007B1D24" w:rsidRPr="007B1D24" w:rsidRDefault="00C14200" w:rsidP="007B1D24">
      <w:pPr>
        <w:jc w:val="both"/>
        <w:rPr>
          <w:rFonts w:ascii="Cambria" w:hAnsi="Cambria" w:cs="Lucida Grande"/>
          <w:color w:val="FF0000"/>
        </w:rPr>
      </w:pPr>
      <w:r w:rsidRPr="007B1D24">
        <w:rPr>
          <w:rFonts w:ascii="Cambria" w:hAnsi="Cambria" w:cs="Lucida Grande"/>
          <w:color w:val="FF0000"/>
        </w:rPr>
        <w:t xml:space="preserve">This was one of the most difficult points of my analysis and its mastery required lengthy reflection. If one presupposes knowledge of the sequence N of natural numbers and, accordingly, allows </w:t>
      </w:r>
      <w:proofErr w:type="gramStart"/>
      <w:r w:rsidRPr="007B1D24">
        <w:rPr>
          <w:rFonts w:ascii="Cambria" w:hAnsi="Cambria" w:cs="Lucida Grande"/>
          <w:color w:val="FF0000"/>
        </w:rPr>
        <w:t>himself</w:t>
      </w:r>
      <w:proofErr w:type="gramEnd"/>
      <w:r w:rsidRPr="007B1D24">
        <w:rPr>
          <w:rFonts w:ascii="Cambria" w:hAnsi="Cambria" w:cs="Lucida Grande"/>
          <w:color w:val="FF0000"/>
        </w:rPr>
        <w:t xml:space="preserve"> the use of the language of arithmetic, then of course, he has an easy time of it. He need only say: an element n belongs to the sequence N if and only if starting with the element 1 and counting on and steadfastly, that is, going through a finite number of iterations of the mapping phi</w:t>
      </w:r>
      <w:r w:rsidR="007B1D24" w:rsidRPr="007B1D24">
        <w:rPr>
          <w:rFonts w:ascii="Cambria" w:hAnsi="Cambria" w:cs="Lucida Grande"/>
          <w:color w:val="FF0000"/>
        </w:rPr>
        <w:t xml:space="preserve">, I actually reach the element n at some time; by this procedure, however, I shall never reach an element t outside of the sequence N. </w:t>
      </w:r>
    </w:p>
    <w:p w14:paraId="211616A8" w14:textId="77777777" w:rsidR="007B1D24" w:rsidRPr="007B1D24" w:rsidRDefault="007B1D24" w:rsidP="007B1D24">
      <w:pPr>
        <w:jc w:val="both"/>
        <w:rPr>
          <w:rFonts w:ascii="Cambria" w:hAnsi="Cambria" w:cs="Lucida Grande"/>
          <w:color w:val="FF0000"/>
        </w:rPr>
      </w:pPr>
    </w:p>
    <w:p w14:paraId="2874938A" w14:textId="26D03518" w:rsidR="00C14200" w:rsidRPr="007B1D24" w:rsidRDefault="007B1D24" w:rsidP="007B1D24">
      <w:pPr>
        <w:jc w:val="both"/>
        <w:rPr>
          <w:rFonts w:ascii="Cambria" w:hAnsi="Cambria" w:cs="Lucida Grande"/>
          <w:color w:val="FF0000"/>
        </w:rPr>
      </w:pPr>
      <w:r w:rsidRPr="007B1D24">
        <w:rPr>
          <w:rFonts w:ascii="Cambria" w:hAnsi="Cambria" w:cs="Lucida Grande"/>
          <w:color w:val="FF0000"/>
        </w:rPr>
        <w:t xml:space="preserve">But this way </w:t>
      </w:r>
      <w:proofErr w:type="gramStart"/>
      <w:r w:rsidRPr="007B1D24">
        <w:rPr>
          <w:rFonts w:ascii="Cambria" w:hAnsi="Cambria" w:cs="Lucida Grande"/>
          <w:color w:val="FF0000"/>
        </w:rPr>
        <w:t>of  characterizing</w:t>
      </w:r>
      <w:proofErr w:type="gramEnd"/>
      <w:r w:rsidRPr="007B1D24">
        <w:rPr>
          <w:rFonts w:ascii="Cambria" w:hAnsi="Cambria" w:cs="Lucida Grande"/>
          <w:color w:val="FF0000"/>
        </w:rPr>
        <w:t xml:space="preserve"> the distinction between those elements t that are to be ejected from S and those elements n that alone are to remain is surely quite useless for our purpose; it would, after all contain the most obvious kind of vicious circle. </w:t>
      </w:r>
    </w:p>
    <w:p w14:paraId="4B58C025" w14:textId="77777777" w:rsidR="007B1D24" w:rsidRPr="007B1D24" w:rsidRDefault="007B1D24" w:rsidP="007B1D24">
      <w:pPr>
        <w:jc w:val="both"/>
        <w:rPr>
          <w:rFonts w:ascii="Cambria" w:hAnsi="Cambria" w:cs="Lucida Grande"/>
          <w:color w:val="FF0000"/>
        </w:rPr>
      </w:pPr>
    </w:p>
    <w:p w14:paraId="1C91918B" w14:textId="0C10E07A" w:rsidR="007B1D24" w:rsidRPr="007B1D24" w:rsidRDefault="007B1D24" w:rsidP="007B1D24">
      <w:pPr>
        <w:jc w:val="both"/>
        <w:rPr>
          <w:rFonts w:ascii="Cambria" w:hAnsi="Cambria" w:cs="Lucida Grande"/>
          <w:color w:val="FF0000"/>
        </w:rPr>
      </w:pPr>
      <w:r w:rsidRPr="007B1D24">
        <w:rPr>
          <w:rFonts w:ascii="Cambria" w:hAnsi="Cambria" w:cs="Lucida Grande"/>
          <w:color w:val="FF0000"/>
        </w:rPr>
        <w:t>The mere words ‘finally get there at some time’ of course, will not do either they would be of no more use than, say, the words ‘</w:t>
      </w:r>
      <w:proofErr w:type="spellStart"/>
      <w:r w:rsidRPr="007B1D24">
        <w:rPr>
          <w:rFonts w:ascii="Cambria" w:hAnsi="Cambria" w:cs="Lucida Grande"/>
          <w:color w:val="FF0000"/>
        </w:rPr>
        <w:t>karam</w:t>
      </w:r>
      <w:proofErr w:type="spellEnd"/>
      <w:r w:rsidRPr="007B1D24">
        <w:rPr>
          <w:rFonts w:ascii="Cambria" w:hAnsi="Cambria" w:cs="Lucida Grande"/>
          <w:color w:val="FF0000"/>
        </w:rPr>
        <w:t xml:space="preserve"> </w:t>
      </w:r>
      <w:proofErr w:type="spellStart"/>
      <w:r w:rsidRPr="007B1D24">
        <w:rPr>
          <w:rFonts w:ascii="Cambria" w:hAnsi="Cambria" w:cs="Lucida Grande"/>
          <w:color w:val="FF0000"/>
        </w:rPr>
        <w:t>sipo</w:t>
      </w:r>
      <w:proofErr w:type="spellEnd"/>
      <w:r w:rsidRPr="007B1D24">
        <w:rPr>
          <w:rFonts w:ascii="Cambria" w:hAnsi="Cambria" w:cs="Lucida Grande"/>
          <w:color w:val="FF0000"/>
        </w:rPr>
        <w:t xml:space="preserve"> </w:t>
      </w:r>
      <w:proofErr w:type="spellStart"/>
      <w:r w:rsidRPr="007B1D24">
        <w:rPr>
          <w:rFonts w:ascii="Cambria" w:hAnsi="Cambria" w:cs="Lucida Grande"/>
          <w:color w:val="FF0000"/>
        </w:rPr>
        <w:t>tatura</w:t>
      </w:r>
      <w:proofErr w:type="spellEnd"/>
      <w:r w:rsidRPr="007B1D24">
        <w:rPr>
          <w:rFonts w:ascii="Cambria" w:hAnsi="Cambria" w:cs="Lucida Grande"/>
          <w:color w:val="FF0000"/>
        </w:rPr>
        <w:t xml:space="preserve">’ which I invent at this </w:t>
      </w:r>
      <w:proofErr w:type="spellStart"/>
      <w:r w:rsidRPr="007B1D24">
        <w:rPr>
          <w:rFonts w:ascii="Cambria" w:hAnsi="Cambria" w:cs="Lucida Grande"/>
          <w:color w:val="FF0000"/>
        </w:rPr>
        <w:t>instat</w:t>
      </w:r>
      <w:proofErr w:type="spellEnd"/>
      <w:r w:rsidRPr="007B1D24">
        <w:rPr>
          <w:rFonts w:ascii="Cambria" w:hAnsi="Cambria" w:cs="Lucida Grande"/>
          <w:color w:val="FF0000"/>
        </w:rPr>
        <w:t xml:space="preserve"> without giving them any clearly defined meaning.</w:t>
      </w:r>
    </w:p>
    <w:p w14:paraId="51521023" w14:textId="77777777" w:rsidR="007B1D24" w:rsidRPr="007B1D24" w:rsidRDefault="007B1D24" w:rsidP="007B1D24">
      <w:pPr>
        <w:jc w:val="both"/>
        <w:rPr>
          <w:rFonts w:ascii="Cambria" w:hAnsi="Cambria" w:cs="Lucida Grande"/>
          <w:color w:val="FF0000"/>
        </w:rPr>
      </w:pPr>
    </w:p>
    <w:p w14:paraId="7E8069CE" w14:textId="77777777" w:rsidR="007B1D24" w:rsidRPr="007B1D24" w:rsidRDefault="007B1D24" w:rsidP="007B1D24">
      <w:pPr>
        <w:jc w:val="both"/>
        <w:rPr>
          <w:rFonts w:ascii="Cambria" w:hAnsi="Cambria" w:cs="Lucida Grande"/>
          <w:color w:val="FF0000"/>
        </w:rPr>
      </w:pPr>
    </w:p>
    <w:p w14:paraId="1F67FA99" w14:textId="05A53CAC" w:rsidR="007B1D24" w:rsidRPr="007B1D24" w:rsidRDefault="007B1D24" w:rsidP="007B1D24">
      <w:pPr>
        <w:jc w:val="both"/>
        <w:rPr>
          <w:rFonts w:ascii="Cambria" w:hAnsi="Cambria" w:cs="Lucida Grande"/>
          <w:color w:val="FF0000"/>
        </w:rPr>
      </w:pPr>
      <w:r w:rsidRPr="007B1D24">
        <w:rPr>
          <w:rFonts w:ascii="Cambria" w:hAnsi="Cambria" w:cs="Lucida Grande"/>
          <w:color w:val="FF0000"/>
        </w:rPr>
        <w:t xml:space="preserve">Thus, how can I, </w:t>
      </w:r>
      <w:r w:rsidRPr="007B1D24">
        <w:rPr>
          <w:rFonts w:ascii="Cambria" w:hAnsi="Cambria" w:cs="Lucida Grande"/>
          <w:color w:val="008000"/>
        </w:rPr>
        <w:t>without presupposing any arithmetic knowledge,</w:t>
      </w:r>
      <w:r w:rsidRPr="007B1D24">
        <w:rPr>
          <w:rFonts w:ascii="Cambria" w:hAnsi="Cambria" w:cs="Lucida Grande"/>
          <w:color w:val="FF0000"/>
        </w:rPr>
        <w:t xml:space="preserve"> give an unambiguous conceptual foundation to the distinction between the elements n and the elements t?”</w:t>
      </w:r>
    </w:p>
    <w:p w14:paraId="2F153C12" w14:textId="77777777" w:rsidR="007B1D24" w:rsidRDefault="007B1D24" w:rsidP="007B1D24">
      <w:pPr>
        <w:jc w:val="both"/>
        <w:rPr>
          <w:rFonts w:ascii="Cambria" w:hAnsi="Cambria" w:cs="Lucida Grande"/>
          <w:color w:val="000000"/>
        </w:rPr>
      </w:pPr>
    </w:p>
    <w:p w14:paraId="4F089501" w14:textId="77777777" w:rsidR="00CD3C0A" w:rsidRDefault="00CD3C0A" w:rsidP="007B1D24">
      <w:pPr>
        <w:jc w:val="both"/>
        <w:rPr>
          <w:rFonts w:ascii="Cambria" w:hAnsi="Cambria" w:cs="Lucida Grande"/>
          <w:b/>
          <w:color w:val="000000"/>
        </w:rPr>
      </w:pPr>
    </w:p>
    <w:p w14:paraId="17492CE5" w14:textId="77777777" w:rsidR="00CD3C0A" w:rsidRDefault="00CD3C0A" w:rsidP="007B1D24">
      <w:pPr>
        <w:jc w:val="both"/>
        <w:rPr>
          <w:rFonts w:ascii="Cambria" w:hAnsi="Cambria" w:cs="Lucida Grande"/>
          <w:b/>
          <w:color w:val="000000"/>
        </w:rPr>
      </w:pPr>
    </w:p>
    <w:p w14:paraId="6D4C0563" w14:textId="77777777" w:rsidR="00CD3C0A" w:rsidRDefault="00CD3C0A" w:rsidP="007B1D24">
      <w:pPr>
        <w:jc w:val="both"/>
        <w:rPr>
          <w:rFonts w:ascii="Cambria" w:hAnsi="Cambria" w:cs="Lucida Grande"/>
          <w:b/>
          <w:color w:val="000000"/>
        </w:rPr>
      </w:pPr>
    </w:p>
    <w:p w14:paraId="187789A6" w14:textId="77777777" w:rsidR="00CD3C0A" w:rsidRDefault="00CD3C0A" w:rsidP="007B1D24">
      <w:pPr>
        <w:jc w:val="both"/>
        <w:rPr>
          <w:rFonts w:ascii="Cambria" w:hAnsi="Cambria" w:cs="Lucida Grande"/>
          <w:b/>
          <w:color w:val="000000"/>
        </w:rPr>
      </w:pPr>
    </w:p>
    <w:p w14:paraId="3CE86153" w14:textId="77777777" w:rsidR="00CD3C0A" w:rsidRDefault="00CD3C0A" w:rsidP="007B1D24">
      <w:pPr>
        <w:jc w:val="both"/>
        <w:rPr>
          <w:rFonts w:ascii="Cambria" w:hAnsi="Cambria" w:cs="Lucida Grande"/>
          <w:b/>
          <w:color w:val="000000"/>
        </w:rPr>
      </w:pPr>
    </w:p>
    <w:p w14:paraId="39EA7396" w14:textId="77777777" w:rsidR="00CD3C0A" w:rsidRDefault="00CD3C0A" w:rsidP="007B1D24">
      <w:pPr>
        <w:jc w:val="both"/>
        <w:rPr>
          <w:rFonts w:ascii="Cambria" w:hAnsi="Cambria" w:cs="Lucida Grande"/>
          <w:b/>
          <w:color w:val="000000"/>
        </w:rPr>
      </w:pPr>
    </w:p>
    <w:p w14:paraId="72611170" w14:textId="77777777" w:rsidR="00CD3C0A" w:rsidRDefault="00CD3C0A" w:rsidP="007B1D24">
      <w:pPr>
        <w:jc w:val="both"/>
        <w:rPr>
          <w:rFonts w:ascii="Cambria" w:hAnsi="Cambria" w:cs="Lucida Grande"/>
          <w:b/>
          <w:color w:val="000000"/>
        </w:rPr>
      </w:pPr>
    </w:p>
    <w:p w14:paraId="2941BAFD" w14:textId="59AF3C92" w:rsidR="007B1D24" w:rsidRPr="00CD3C0A" w:rsidRDefault="007B1D24" w:rsidP="007B1D24">
      <w:pPr>
        <w:jc w:val="both"/>
        <w:rPr>
          <w:rFonts w:ascii="Cambria" w:hAnsi="Cambria" w:cs="Lucida Grande"/>
          <w:b/>
          <w:color w:val="000000"/>
        </w:rPr>
      </w:pPr>
      <w:r w:rsidRPr="00CD3C0A">
        <w:rPr>
          <w:rFonts w:ascii="Cambria" w:hAnsi="Cambria" w:cs="Lucida Grande"/>
          <w:b/>
          <w:color w:val="000000"/>
        </w:rPr>
        <w:t>Questions</w:t>
      </w:r>
    </w:p>
    <w:p w14:paraId="083F3444" w14:textId="77777777" w:rsidR="007B1D24" w:rsidRDefault="007B1D24" w:rsidP="007B1D24">
      <w:pPr>
        <w:jc w:val="both"/>
        <w:rPr>
          <w:rFonts w:ascii="Cambria" w:hAnsi="Cambria" w:cs="Lucida Grande"/>
          <w:color w:val="000000"/>
        </w:rPr>
      </w:pPr>
    </w:p>
    <w:p w14:paraId="50C5591F" w14:textId="77777777" w:rsidR="00CD3C0A" w:rsidRDefault="00CD3C0A" w:rsidP="00CD3C0A">
      <w:pPr>
        <w:pStyle w:val="ListParagraph"/>
        <w:numPr>
          <w:ilvl w:val="0"/>
          <w:numId w:val="1"/>
        </w:numPr>
        <w:jc w:val="both"/>
        <w:rPr>
          <w:rFonts w:ascii="Cambria" w:hAnsi="Cambria" w:cs="Lucida Grande"/>
          <w:color w:val="008000"/>
        </w:rPr>
      </w:pPr>
      <w:r w:rsidRPr="00CD3C0A">
        <w:rPr>
          <w:rFonts w:ascii="Cambria" w:hAnsi="Cambria" w:cs="Lucida Grande"/>
          <w:color w:val="000000"/>
        </w:rPr>
        <w:t xml:space="preserve">What is meant exactly by the words </w:t>
      </w:r>
      <w:r w:rsidRPr="00CD3C0A">
        <w:rPr>
          <w:rFonts w:ascii="Cambria" w:hAnsi="Cambria" w:cs="Lucida Grande"/>
          <w:color w:val="008000"/>
        </w:rPr>
        <w:t>“without presupposing any arithmetic knowledge”?</w:t>
      </w:r>
    </w:p>
    <w:p w14:paraId="433B5DE5" w14:textId="77777777" w:rsidR="00CD3C0A" w:rsidRPr="00CD3C0A" w:rsidRDefault="00CD3C0A" w:rsidP="00CD3C0A">
      <w:pPr>
        <w:pStyle w:val="ListParagraph"/>
        <w:jc w:val="both"/>
        <w:rPr>
          <w:rFonts w:ascii="Cambria" w:hAnsi="Cambria" w:cs="Lucida Grande"/>
          <w:color w:val="008000"/>
        </w:rPr>
      </w:pPr>
    </w:p>
    <w:p w14:paraId="76FBFC4C" w14:textId="0DB907AD" w:rsidR="007B1D24" w:rsidRDefault="007B1D24" w:rsidP="00CD3C0A">
      <w:pPr>
        <w:pStyle w:val="ListParagraph"/>
        <w:numPr>
          <w:ilvl w:val="0"/>
          <w:numId w:val="1"/>
        </w:numPr>
        <w:jc w:val="both"/>
        <w:rPr>
          <w:rFonts w:ascii="Cambria" w:hAnsi="Cambria" w:cs="Lucida Grande"/>
          <w:color w:val="000000"/>
        </w:rPr>
      </w:pPr>
      <w:r w:rsidRPr="00CD3C0A">
        <w:rPr>
          <w:rFonts w:ascii="Cambria" w:hAnsi="Cambria" w:cs="Lucida Grande"/>
          <w:color w:val="000000"/>
        </w:rPr>
        <w:t xml:space="preserve">Is this a critique of </w:t>
      </w:r>
      <w:proofErr w:type="spellStart"/>
      <w:r w:rsidRPr="00CD3C0A">
        <w:rPr>
          <w:rFonts w:ascii="Cambria" w:hAnsi="Cambria" w:cs="Lucida Grande"/>
          <w:color w:val="000000"/>
        </w:rPr>
        <w:t>psychologism</w:t>
      </w:r>
      <w:proofErr w:type="spellEnd"/>
      <w:r w:rsidRPr="00CD3C0A">
        <w:rPr>
          <w:rFonts w:ascii="Cambria" w:hAnsi="Cambria" w:cs="Lucida Grande"/>
          <w:color w:val="000000"/>
        </w:rPr>
        <w:t>?</w:t>
      </w:r>
    </w:p>
    <w:p w14:paraId="7DFF8FBE" w14:textId="77777777" w:rsidR="00CD3C0A" w:rsidRPr="00CD3C0A" w:rsidRDefault="00CD3C0A" w:rsidP="00CD3C0A">
      <w:pPr>
        <w:jc w:val="both"/>
        <w:rPr>
          <w:rFonts w:ascii="Cambria" w:hAnsi="Cambria" w:cs="Lucida Grande"/>
          <w:color w:val="000000"/>
        </w:rPr>
      </w:pPr>
    </w:p>
    <w:p w14:paraId="578E026A" w14:textId="77777777" w:rsidR="00CD3C0A" w:rsidRPr="00CD3C0A" w:rsidRDefault="00CD3C0A" w:rsidP="00CD3C0A">
      <w:pPr>
        <w:pStyle w:val="ListParagraph"/>
        <w:jc w:val="both"/>
        <w:rPr>
          <w:rFonts w:ascii="Cambria" w:hAnsi="Cambria" w:cs="Lucida Grande"/>
          <w:color w:val="000000"/>
        </w:rPr>
      </w:pPr>
      <w:bookmarkStart w:id="0" w:name="_GoBack"/>
      <w:bookmarkEnd w:id="0"/>
    </w:p>
    <w:p w14:paraId="011702B7" w14:textId="71A7D7A4" w:rsidR="007B1D24" w:rsidRPr="00CD3C0A" w:rsidRDefault="00CD3C0A" w:rsidP="007B1D24">
      <w:pPr>
        <w:pStyle w:val="ListParagraph"/>
        <w:numPr>
          <w:ilvl w:val="0"/>
          <w:numId w:val="1"/>
        </w:numPr>
        <w:jc w:val="both"/>
        <w:rPr>
          <w:rFonts w:ascii="Cambria" w:hAnsi="Cambria" w:cs="Lucida Grande"/>
          <w:color w:val="000000"/>
        </w:rPr>
      </w:pPr>
      <w:r w:rsidRPr="00CD3C0A">
        <w:rPr>
          <w:rFonts w:ascii="Cambria" w:hAnsi="Cambria" w:cs="Lucida Grande"/>
        </w:rPr>
        <w:t>I</w:t>
      </w:r>
      <w:r w:rsidR="007B1D24" w:rsidRPr="00CD3C0A">
        <w:rPr>
          <w:rFonts w:ascii="Cambria" w:hAnsi="Cambria" w:cs="Lucida Grande"/>
        </w:rPr>
        <w:t>s Dedekind tacitly acknowledging the need for an essentialist definition of number? (</w:t>
      </w:r>
      <w:proofErr w:type="gramStart"/>
      <w:r w:rsidR="007B1D24" w:rsidRPr="00CD3C0A">
        <w:rPr>
          <w:rFonts w:ascii="Cambria" w:hAnsi="Cambria" w:cs="Lucida Grande"/>
        </w:rPr>
        <w:t>not</w:t>
      </w:r>
      <w:proofErr w:type="gramEnd"/>
      <w:r w:rsidR="007B1D24" w:rsidRPr="00CD3C0A">
        <w:rPr>
          <w:rFonts w:ascii="Cambria" w:hAnsi="Cambria" w:cs="Lucida Grande"/>
        </w:rPr>
        <w:t xml:space="preserve"> necessarily Platonism, but essentialism – </w:t>
      </w:r>
      <w:r w:rsidRPr="00CD3C0A">
        <w:rPr>
          <w:rFonts w:ascii="Cambria" w:hAnsi="Cambria" w:cs="Lucida Grande"/>
        </w:rPr>
        <w:t xml:space="preserve">some </w:t>
      </w:r>
      <w:r w:rsidRPr="00CD3C0A">
        <w:rPr>
          <w:rFonts w:ascii="Cambria" w:hAnsi="Cambria" w:cs="Lucida Grande"/>
          <w:i/>
        </w:rPr>
        <w:t>pragmatic</w:t>
      </w:r>
      <w:r w:rsidRPr="00CD3C0A">
        <w:rPr>
          <w:rFonts w:ascii="Cambria" w:hAnsi="Cambria" w:cs="Lucida Grande"/>
        </w:rPr>
        <w:t xml:space="preserve"> or </w:t>
      </w:r>
      <w:r w:rsidRPr="00CD3C0A">
        <w:rPr>
          <w:rFonts w:ascii="Cambria" w:hAnsi="Cambria" w:cs="Lucida Grande"/>
          <w:i/>
        </w:rPr>
        <w:t>semantic</w:t>
      </w:r>
      <w:r w:rsidRPr="00CD3C0A">
        <w:rPr>
          <w:rFonts w:ascii="Cambria" w:hAnsi="Cambria" w:cs="Lucida Grande"/>
        </w:rPr>
        <w:t xml:space="preserve"> condition for the use and definition of number over and above a purely formal criterion.</w:t>
      </w:r>
    </w:p>
    <w:p w14:paraId="5B8D899E" w14:textId="77777777" w:rsidR="007B1D24" w:rsidRDefault="007B1D24" w:rsidP="007B1D24">
      <w:pPr>
        <w:jc w:val="both"/>
        <w:rPr>
          <w:rFonts w:ascii="Cambria" w:hAnsi="Cambria" w:cs="Lucida Grande"/>
          <w:color w:val="000000"/>
        </w:rPr>
      </w:pPr>
    </w:p>
    <w:p w14:paraId="0AC5A668" w14:textId="77777777" w:rsidR="007B1D24" w:rsidRDefault="007B1D24" w:rsidP="007B1D24">
      <w:pPr>
        <w:jc w:val="both"/>
        <w:rPr>
          <w:rFonts w:ascii="Cambria" w:hAnsi="Cambria" w:cs="Lucida Grande"/>
          <w:color w:val="000000"/>
        </w:rPr>
      </w:pPr>
    </w:p>
    <w:p w14:paraId="3D0F426E" w14:textId="77777777" w:rsidR="007B1D24" w:rsidRDefault="007B1D24" w:rsidP="007B1D24">
      <w:pPr>
        <w:jc w:val="both"/>
        <w:rPr>
          <w:rFonts w:ascii="Cambria" w:hAnsi="Cambria" w:cs="Lucida Grande"/>
          <w:color w:val="000000"/>
        </w:rPr>
      </w:pPr>
    </w:p>
    <w:p w14:paraId="0D743F78" w14:textId="3FB39956" w:rsidR="007B1D24" w:rsidRDefault="007B1D24" w:rsidP="007B1D24">
      <w:pPr>
        <w:jc w:val="both"/>
        <w:rPr>
          <w:rFonts w:ascii="Cambria" w:hAnsi="Cambria" w:cs="Lucida Grande"/>
          <w:color w:val="000000"/>
        </w:rPr>
      </w:pPr>
      <w:r>
        <w:rPr>
          <w:rFonts w:ascii="Cambria" w:hAnsi="Cambria" w:cs="Lucida Grande"/>
          <w:color w:val="000000"/>
        </w:rPr>
        <w:t>I</w:t>
      </w:r>
    </w:p>
    <w:p w14:paraId="3C0AE805" w14:textId="77777777" w:rsidR="007B1D24" w:rsidRDefault="007B1D24" w:rsidP="007B1D24">
      <w:pPr>
        <w:jc w:val="both"/>
        <w:rPr>
          <w:rFonts w:ascii="Cambria" w:hAnsi="Cambria" w:cs="Lucida Grande"/>
          <w:color w:val="000000"/>
        </w:rPr>
      </w:pPr>
    </w:p>
    <w:p w14:paraId="5CAE5C9B" w14:textId="77777777" w:rsidR="007B1D24" w:rsidRDefault="007B1D24" w:rsidP="007B1D24">
      <w:pPr>
        <w:jc w:val="both"/>
        <w:rPr>
          <w:rFonts w:ascii="Cambria" w:hAnsi="Cambria" w:cs="Lucida Grande"/>
          <w:color w:val="000000"/>
        </w:rPr>
      </w:pPr>
    </w:p>
    <w:p w14:paraId="28238D99" w14:textId="77777777" w:rsidR="007B1D24" w:rsidRPr="00C14200" w:rsidRDefault="007B1D24" w:rsidP="007B1D24">
      <w:pPr>
        <w:jc w:val="both"/>
        <w:rPr>
          <w:rFonts w:ascii="Cambria" w:hAnsi="Cambria"/>
        </w:rPr>
      </w:pPr>
    </w:p>
    <w:p w14:paraId="6AED4775" w14:textId="77777777" w:rsidR="00C14200" w:rsidRPr="00C14200" w:rsidRDefault="00C14200" w:rsidP="007B1D24">
      <w:pPr>
        <w:jc w:val="both"/>
        <w:rPr>
          <w:rFonts w:ascii="Cambria" w:hAnsi="Cambria"/>
        </w:rPr>
      </w:pPr>
    </w:p>
    <w:p w14:paraId="2BDB4552" w14:textId="77777777" w:rsidR="00C14200" w:rsidRDefault="00C14200" w:rsidP="007B1D24">
      <w:pPr>
        <w:jc w:val="both"/>
      </w:pPr>
    </w:p>
    <w:p w14:paraId="496537E1" w14:textId="77777777" w:rsidR="007A7134" w:rsidRDefault="007A7134" w:rsidP="007B1D24">
      <w:pPr>
        <w:jc w:val="both"/>
      </w:pPr>
    </w:p>
    <w:p w14:paraId="4B1D7F8A" w14:textId="77777777" w:rsidR="007A7134" w:rsidRDefault="007A7134" w:rsidP="007B1D24">
      <w:pPr>
        <w:jc w:val="both"/>
      </w:pPr>
    </w:p>
    <w:p w14:paraId="45B2B1F1" w14:textId="77777777" w:rsidR="00DC7217" w:rsidRDefault="00DC7217" w:rsidP="007B1D24">
      <w:pPr>
        <w:jc w:val="both"/>
      </w:pPr>
    </w:p>
    <w:sectPr w:rsidR="00DC7217" w:rsidSect="007B1D24">
      <w:pgSz w:w="11900" w:h="16840"/>
      <w:pgMar w:top="1440"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47F91"/>
    <w:multiLevelType w:val="hybridMultilevel"/>
    <w:tmpl w:val="A4C47936"/>
    <w:lvl w:ilvl="0" w:tplc="D76624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B5"/>
    <w:rsid w:val="0006178B"/>
    <w:rsid w:val="00460FF5"/>
    <w:rsid w:val="007A7134"/>
    <w:rsid w:val="007B1D24"/>
    <w:rsid w:val="00C14200"/>
    <w:rsid w:val="00CD3C0A"/>
    <w:rsid w:val="00D20FB5"/>
    <w:rsid w:val="00DC7217"/>
    <w:rsid w:val="00E05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B217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178B"/>
    <w:rPr>
      <w:color w:val="0000FF"/>
      <w:u w:val="single"/>
    </w:rPr>
  </w:style>
  <w:style w:type="paragraph" w:styleId="ListParagraph">
    <w:name w:val="List Paragraph"/>
    <w:basedOn w:val="Normal"/>
    <w:uiPriority w:val="34"/>
    <w:qFormat/>
    <w:rsid w:val="00CD3C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178B"/>
    <w:rPr>
      <w:color w:val="0000FF"/>
      <w:u w:val="single"/>
    </w:rPr>
  </w:style>
  <w:style w:type="paragraph" w:styleId="ListParagraph">
    <w:name w:val="List Paragraph"/>
    <w:basedOn w:val="Normal"/>
    <w:uiPriority w:val="34"/>
    <w:qFormat/>
    <w:rsid w:val="00CD3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83153">
      <w:bodyDiv w:val="1"/>
      <w:marLeft w:val="0"/>
      <w:marRight w:val="0"/>
      <w:marTop w:val="0"/>
      <w:marBottom w:val="0"/>
      <w:divBdr>
        <w:top w:val="none" w:sz="0" w:space="0" w:color="auto"/>
        <w:left w:val="none" w:sz="0" w:space="0" w:color="auto"/>
        <w:bottom w:val="none" w:sz="0" w:space="0" w:color="auto"/>
        <w:right w:val="none" w:sz="0" w:space="0" w:color="auto"/>
      </w:divBdr>
    </w:div>
    <w:div w:id="1836189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Richard_Dedekind" TargetMode="External"/><Relationship Id="rId12" Type="http://schemas.openxmlformats.org/officeDocument/2006/relationships/hyperlink" Target="https://en.wikipedia.org/wiki/Infinite_se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Richard_Dedekind" TargetMode="External"/><Relationship Id="rId7" Type="http://schemas.openxmlformats.org/officeDocument/2006/relationships/hyperlink" Target="https://en.wikipedia.org/wiki/One-to-one_correspondence" TargetMode="External"/><Relationship Id="rId8" Type="http://schemas.openxmlformats.org/officeDocument/2006/relationships/hyperlink" Target="https://en.wikipedia.org/wiki/Dedekind-infinite_set" TargetMode="External"/><Relationship Id="rId9" Type="http://schemas.openxmlformats.org/officeDocument/2006/relationships/hyperlink" Target="https://en.wikipedia.org/wiki/Equinumerous" TargetMode="External"/><Relationship Id="rId10" Type="http://schemas.openxmlformats.org/officeDocument/2006/relationships/hyperlink" Target="https://en.wikipedia.org/wiki/Sub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810</Words>
  <Characters>4620</Characters>
  <Application>Microsoft Macintosh Word</Application>
  <DocSecurity>0</DocSecurity>
  <Lines>38</Lines>
  <Paragraphs>10</Paragraphs>
  <ScaleCrop>false</ScaleCrop>
  <Company>luisfernando.murillo@gmail.com</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Murillo</dc:creator>
  <cp:keywords/>
  <dc:description/>
  <cp:lastModifiedBy>Luis Fernando Murillo</cp:lastModifiedBy>
  <cp:revision>3</cp:revision>
  <dcterms:created xsi:type="dcterms:W3CDTF">2017-10-17T10:07:00Z</dcterms:created>
  <dcterms:modified xsi:type="dcterms:W3CDTF">2017-10-17T11:27:00Z</dcterms:modified>
</cp:coreProperties>
</file>