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0FD5" w14:textId="51C8CFDE" w:rsidR="008A4235" w:rsidRPr="008A4235" w:rsidRDefault="008A4235" w:rsidP="008A4235">
      <w:pPr>
        <w:jc w:val="both"/>
        <w:rPr>
          <w:rFonts w:ascii="Garamond" w:hAnsi="Garamond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A4235" w:rsidRPr="008A4235" w14:paraId="754FC9FE" w14:textId="77777777" w:rsidTr="00A1238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2394" w14:textId="0DFA5C29" w:rsidR="008A4235" w:rsidRPr="008A4235" w:rsidRDefault="008A4235" w:rsidP="008A4235">
            <w:pPr>
              <w:spacing w:after="0"/>
              <w:jc w:val="both"/>
              <w:rPr>
                <w:rFonts w:ascii="Garamond" w:hAnsi="Garamond" w:cs="Times New Roman"/>
                <w:lang w:val="en-GB"/>
              </w:rPr>
            </w:pPr>
            <w:r w:rsidRPr="008A4235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8A4235">
              <w:rPr>
                <w:rFonts w:ascii="Garamond" w:hAnsi="Garamond"/>
                <w:b/>
                <w:lang w:val="en-GB"/>
              </w:rPr>
              <w:t>BA-ERA-IPH-S-1</w:t>
            </w:r>
            <w:r>
              <w:rPr>
                <w:rFonts w:ascii="Garamond" w:hAnsi="Garamond"/>
                <w:b/>
                <w:lang w:val="en-GB"/>
              </w:rPr>
              <w:t>3</w:t>
            </w:r>
            <w:r w:rsidRPr="008A4235">
              <w:rPr>
                <w:rFonts w:ascii="Garamond" w:hAnsi="Garamond"/>
                <w:b/>
                <w:lang w:val="en-GB"/>
              </w:rPr>
              <w:t>, MA-ERA-IPH-S-1</w:t>
            </w:r>
            <w:r>
              <w:rPr>
                <w:rFonts w:ascii="Garamond" w:hAnsi="Garamond"/>
                <w:b/>
                <w:lang w:val="en-GB"/>
              </w:rPr>
              <w:t>3</w:t>
            </w:r>
          </w:p>
        </w:tc>
      </w:tr>
      <w:tr w:rsidR="008A4235" w:rsidRPr="008A4235" w14:paraId="079D831C" w14:textId="77777777" w:rsidTr="00A1238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FE53" w14:textId="77777777" w:rsidR="008A4235" w:rsidRPr="008A4235" w:rsidRDefault="008A4235" w:rsidP="008A4235">
            <w:pPr>
              <w:spacing w:after="0"/>
              <w:jc w:val="both"/>
              <w:rPr>
                <w:rFonts w:ascii="Garamond" w:hAnsi="Garamond" w:cs="Times New Roman"/>
                <w:lang w:val="en-GB"/>
              </w:rPr>
            </w:pPr>
            <w:r w:rsidRPr="008A4235">
              <w:rPr>
                <w:rFonts w:ascii="Garamond" w:hAnsi="Garamond" w:cs="Times New Roman"/>
                <w:lang w:val="en-GB"/>
              </w:rPr>
              <w:t>Title of course:</w:t>
            </w:r>
            <w:r w:rsidRPr="008A4235">
              <w:rPr>
                <w:rFonts w:ascii="Garamond" w:hAnsi="Garamond" w:cs="Times New Roman"/>
                <w:b/>
                <w:bCs/>
                <w:lang w:val="en-GB"/>
              </w:rPr>
              <w:t xml:space="preserve"> Free Will, Determinism, and Moral Responsibility</w:t>
            </w:r>
          </w:p>
        </w:tc>
      </w:tr>
      <w:tr w:rsidR="008A4235" w:rsidRPr="008A4235" w14:paraId="710BFC1B" w14:textId="77777777" w:rsidTr="00A1238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AA55" w14:textId="77777777" w:rsidR="008A4235" w:rsidRDefault="008A4235" w:rsidP="008A4235">
            <w:pPr>
              <w:suppressAutoHyphens/>
              <w:spacing w:after="0"/>
              <w:jc w:val="both"/>
              <w:rPr>
                <w:rFonts w:ascii="Garamond" w:hAnsi="Garamond"/>
                <w:b/>
                <w:bCs/>
                <w:lang w:val="en-GB"/>
              </w:rPr>
            </w:pPr>
            <w:r w:rsidRPr="008A4235">
              <w:rPr>
                <w:rFonts w:ascii="Garamond" w:hAnsi="Garamond"/>
                <w:lang w:val="en-GB"/>
              </w:rPr>
              <w:t>Lecturer:</w:t>
            </w:r>
            <w:r w:rsidRPr="008A4235">
              <w:rPr>
                <w:rFonts w:ascii="Garamond" w:hAnsi="Garamond"/>
                <w:b/>
                <w:bCs/>
                <w:lang w:val="en-GB"/>
              </w:rPr>
              <w:t xml:space="preserve"> Zhiwei Gu</w:t>
            </w:r>
          </w:p>
          <w:p w14:paraId="40BB6B31" w14:textId="35840CAF" w:rsidR="008A4235" w:rsidRPr="008A4235" w:rsidRDefault="008A4235" w:rsidP="008A4235">
            <w:pPr>
              <w:suppressAutoHyphens/>
              <w:spacing w:after="0"/>
              <w:jc w:val="both"/>
              <w:rPr>
                <w:rFonts w:ascii="Garamond" w:hAnsi="Garamond"/>
                <w:lang w:val="en-GB"/>
              </w:rPr>
            </w:pPr>
            <w:r w:rsidRPr="008A4235">
              <w:rPr>
                <w:rFonts w:ascii="Garamond" w:hAnsi="Garamond"/>
                <w:lang w:val="en-GB"/>
              </w:rPr>
              <w:t>synchronous online course (according to timetable, but online)</w:t>
            </w:r>
          </w:p>
        </w:tc>
      </w:tr>
      <w:tr w:rsidR="008A4235" w:rsidRPr="008A4235" w14:paraId="5C3E87F6" w14:textId="77777777" w:rsidTr="00A1238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8AF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Garamond" w:hAnsi="Garamond" w:cs="Garamond-Bold"/>
                <w:b/>
                <w:bCs/>
              </w:rPr>
            </w:pPr>
            <w:r w:rsidRPr="008A4235">
              <w:rPr>
                <w:rFonts w:ascii="Garamond" w:hAnsi="Garamond" w:cs="Garamond-Bold"/>
                <w:b/>
                <w:bCs/>
              </w:rPr>
              <w:t xml:space="preserve">General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aim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of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the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course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>:</w:t>
            </w:r>
          </w:p>
          <w:p w14:paraId="17955B9A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By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end of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course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students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who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have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completed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required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work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will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achieve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better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understanding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of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problem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of free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will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main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positions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in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contemporary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debate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importance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of free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will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.</w:t>
            </w:r>
          </w:p>
          <w:p w14:paraId="57E7D752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-Bold"/>
                <w:b/>
                <w:bCs/>
              </w:rPr>
            </w:pP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Content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of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the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course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>:</w:t>
            </w:r>
          </w:p>
          <w:p w14:paraId="743C3D5A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-Bold"/>
                <w:b/>
                <w:bCs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conceive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our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ourselves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free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agents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: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think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freely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act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freely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.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But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also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believe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that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are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part of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physical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world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which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governed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by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laws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of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nature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.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Are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these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two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conceptions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compatible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?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If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is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not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compatible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can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still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be free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agents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have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moral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responsibility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?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This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course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will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study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number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of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proposed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answers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to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these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questions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drawn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from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historical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contemporary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sources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.</w:t>
            </w:r>
            <w:r w:rsidRPr="008A4235">
              <w:rPr>
                <w:rFonts w:ascii="Times New Roman" w:hAnsi="Times New Roman" w:cs="Times New Roman"/>
                <w:b/>
                <w:bCs/>
              </w:rPr>
              <w:t> </w:t>
            </w:r>
            <w:r w:rsidRPr="008A4235">
              <w:rPr>
                <w:rFonts w:ascii="Garamond" w:hAnsi="Garamond" w:cs="Garamond-Bold"/>
                <w:b/>
                <w:bCs/>
              </w:rPr>
              <w:br/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Required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reading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>:</w:t>
            </w:r>
          </w:p>
          <w:p w14:paraId="460A9A5C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8A4235">
              <w:rPr>
                <w:rFonts w:ascii="Garamond" w:hAnsi="Garamond" w:cs="Garamond"/>
                <w:color w:val="000000"/>
              </w:rPr>
              <w:t xml:space="preserve">(P)=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Derk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Pereboom (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edi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), Free Will,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Hackett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Readings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in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Philosophy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.</w:t>
            </w:r>
          </w:p>
          <w:p w14:paraId="1FD08E38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8A4235">
              <w:rPr>
                <w:rFonts w:ascii="Garamond" w:hAnsi="Garamond" w:cs="Garamond"/>
                <w:color w:val="000000"/>
              </w:rPr>
              <w:t xml:space="preserve">(K)= Robert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Kane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A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Contemporary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Introduction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to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Free Will</w:t>
            </w:r>
          </w:p>
          <w:p w14:paraId="1EECC92C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1, (P)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Aristotle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Nicomachean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Ethics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selections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; The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Stoics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selections</w:t>
            </w:r>
            <w:proofErr w:type="spellEnd"/>
          </w:p>
          <w:p w14:paraId="7CEE53C1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2, (P) Thomas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Reid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from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Essays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Active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Powers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of Man</w:t>
            </w:r>
          </w:p>
          <w:p w14:paraId="5E100AD9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3,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A.J.Ayer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Freedom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Necessity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;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Roderick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Chisholm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Human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Freedom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Self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;</w:t>
            </w:r>
          </w:p>
          <w:p w14:paraId="287D0ADD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8A4235">
              <w:rPr>
                <w:rFonts w:ascii="Garamond" w:hAnsi="Garamond" w:cs="Garamond"/>
                <w:color w:val="000000"/>
              </w:rPr>
              <w:t>in Gary Watson (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), Free Will. OUP 2003</w:t>
            </w:r>
          </w:p>
          <w:p w14:paraId="60168691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4, Van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Inwagen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“An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Argument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for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Incompatibilism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”, in Gary Watson (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), Free Will. OUP 2003. </w:t>
            </w:r>
          </w:p>
          <w:p w14:paraId="5B35510D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5, Lewis, “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Are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Free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to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Break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Laws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?”, in Gary Watson (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), Free Will. OUP 2003.</w:t>
            </w:r>
          </w:p>
          <w:p w14:paraId="27733A8A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6, (K)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Chapter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4, “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Libertarianism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Indeterminism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Chance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”</w:t>
            </w:r>
          </w:p>
          <w:p w14:paraId="0A99794F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</w:rPr>
              <w:t>Week</w:t>
            </w:r>
            <w:proofErr w:type="spellEnd"/>
            <w:r w:rsidRPr="008A4235">
              <w:rPr>
                <w:rFonts w:ascii="Garamond" w:hAnsi="Garamond" w:cs="Garamond"/>
              </w:rPr>
              <w:t xml:space="preserve"> 7, </w:t>
            </w:r>
            <w:r w:rsidRPr="008A4235">
              <w:rPr>
                <w:rFonts w:ascii="Garamond" w:hAnsi="Garamond" w:cs="Garamond"/>
                <w:color w:val="000000"/>
              </w:rPr>
              <w:t xml:space="preserve">(K)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Chapter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7, </w:t>
            </w:r>
            <w:proofErr w:type="gramStart"/>
            <w:r w:rsidRPr="008A4235">
              <w:rPr>
                <w:rFonts w:ascii="Garamond" w:hAnsi="Garamond" w:cs="Garamond"/>
                <w:color w:val="000000"/>
              </w:rPr>
              <w:t>“ Is</w:t>
            </w:r>
            <w:proofErr w:type="gramEnd"/>
            <w:r w:rsidRPr="008A4235">
              <w:rPr>
                <w:rFonts w:ascii="Garamond" w:hAnsi="Garamond" w:cs="Garamond"/>
                <w:color w:val="000000"/>
              </w:rPr>
              <w:t xml:space="preserve"> Free Will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Possible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?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Hard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Determinists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Other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Skeptics</w:t>
            </w:r>
            <w:proofErr w:type="spellEnd"/>
          </w:p>
          <w:p w14:paraId="3CCF6F84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8, (P) Frankfurt, “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Alternate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Possibilities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Moral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Responsibility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” </w:t>
            </w:r>
          </w:p>
          <w:p w14:paraId="7CF5EE0C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9, Michael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Slote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, “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Selective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Necessity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Free Will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Problem</w:t>
            </w:r>
            <w:proofErr w:type="spellEnd"/>
          </w:p>
          <w:p w14:paraId="01BA2D10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10, Martin Fischer&amp; Mark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Ravizza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, “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Responsibility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Control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: A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Theory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of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Moral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Responsibility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”,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Chapter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3.</w:t>
            </w:r>
          </w:p>
          <w:p w14:paraId="5E5F6519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11, P.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Strawson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, “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Freedom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Resentment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”</w:t>
            </w:r>
          </w:p>
          <w:p w14:paraId="0CB66952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12, Wallace, “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Responsibility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Moral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Sentiments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”</w:t>
            </w:r>
          </w:p>
          <w:p w14:paraId="4CF33539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13, (P)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Galen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Strawson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“The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Impossibility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of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Ultimate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Moral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Responsibility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”</w:t>
            </w:r>
          </w:p>
          <w:p w14:paraId="294D9BA8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-Bold"/>
                <w:b/>
                <w:bCs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14, Barry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Loewer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>, “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Freedom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From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Physics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: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Quantum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mechanics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Free Will”</w:t>
            </w:r>
          </w:p>
          <w:p w14:paraId="21594E9B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-Bold"/>
                <w:b/>
                <w:bCs/>
              </w:rPr>
            </w:pP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Grading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criteria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,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specific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requirements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>:</w:t>
            </w:r>
          </w:p>
          <w:p w14:paraId="7A294A3A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-Bold"/>
                <w:b/>
                <w:bCs/>
              </w:rPr>
            </w:pPr>
            <w:proofErr w:type="spellStart"/>
            <w:r w:rsidRPr="008A4235">
              <w:rPr>
                <w:rFonts w:ascii="Garamond" w:hAnsi="Garamond" w:cs="Garamond"/>
                <w:color w:val="000000"/>
              </w:rPr>
              <w:t>All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students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must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attend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classes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are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required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to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produce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regular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brief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reflections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their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reading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.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All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students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taking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class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for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credit must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submit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 500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word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short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paper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topic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discussed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before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Week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7 and a 2000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word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final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paper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topic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agreed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in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advance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with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instructor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. The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grade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for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class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will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be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grade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earned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for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short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paper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and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final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paper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(25% and 60%,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respectively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).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Regular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brief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reflections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readings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count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15%,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though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in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exceptional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cases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extra credit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may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be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awarded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for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participation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throughout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the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term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. </w:t>
            </w:r>
          </w:p>
          <w:p w14:paraId="1D117C92" w14:textId="77777777" w:rsidR="008A4235" w:rsidRPr="008A4235" w:rsidRDefault="008A4235" w:rsidP="008A4235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Garamond" w:hAnsi="Garamond" w:cs="Garamond-Bold"/>
                <w:b/>
                <w:bCs/>
              </w:rPr>
            </w:pP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Suggested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further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 xml:space="preserve"> </w:t>
            </w:r>
            <w:proofErr w:type="spellStart"/>
            <w:r w:rsidRPr="008A4235">
              <w:rPr>
                <w:rFonts w:ascii="Garamond" w:hAnsi="Garamond" w:cs="Garamond-Bold"/>
                <w:b/>
                <w:bCs/>
              </w:rPr>
              <w:t>reading</w:t>
            </w:r>
            <w:proofErr w:type="spellEnd"/>
            <w:r w:rsidRPr="008A4235">
              <w:rPr>
                <w:rFonts w:ascii="Garamond" w:hAnsi="Garamond" w:cs="Garamond-Bold"/>
                <w:b/>
                <w:bCs/>
              </w:rPr>
              <w:t>:</w:t>
            </w:r>
          </w:p>
          <w:p w14:paraId="42E4BD4A" w14:textId="77777777" w:rsidR="008A4235" w:rsidRPr="008A4235" w:rsidRDefault="008A4235" w:rsidP="008A4235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8A4235">
              <w:rPr>
                <w:rFonts w:ascii="Garamond" w:hAnsi="Garamond" w:cs="Garamond"/>
                <w:color w:val="000000"/>
              </w:rPr>
              <w:t>Gary Watson (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ed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., Free Will, Oxford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Readings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 in </w:t>
            </w:r>
            <w:proofErr w:type="spellStart"/>
            <w:r w:rsidRPr="008A4235">
              <w:rPr>
                <w:rFonts w:ascii="Garamond" w:hAnsi="Garamond" w:cs="Garamond"/>
                <w:color w:val="000000"/>
              </w:rPr>
              <w:t>Philosophy</w:t>
            </w:r>
            <w:proofErr w:type="spellEnd"/>
            <w:r w:rsidRPr="008A4235">
              <w:rPr>
                <w:rFonts w:ascii="Garamond" w:hAnsi="Garamond" w:cs="Garamond"/>
                <w:color w:val="000000"/>
              </w:rPr>
              <w:t xml:space="preserve">, </w:t>
            </w:r>
            <w:r w:rsidRPr="008A4235">
              <w:rPr>
                <w:rFonts w:ascii="Garamond" w:hAnsi="Garamond"/>
                <w:color w:val="000000"/>
              </w:rPr>
              <w:t xml:space="preserve">Oxford, Oxford University Press, </w:t>
            </w:r>
            <w:r w:rsidRPr="008A4235">
              <w:rPr>
                <w:rFonts w:ascii="Garamond" w:hAnsi="Garamond" w:cs="Garamond"/>
                <w:color w:val="000000"/>
              </w:rPr>
              <w:t>2003.</w:t>
            </w:r>
          </w:p>
        </w:tc>
      </w:tr>
    </w:tbl>
    <w:p w14:paraId="1FDB5E87" w14:textId="77777777" w:rsidR="008A4235" w:rsidRPr="008A4235" w:rsidRDefault="008A4235" w:rsidP="008A4235">
      <w:pPr>
        <w:jc w:val="both"/>
        <w:rPr>
          <w:rFonts w:ascii="Garamond" w:hAnsi="Garamond"/>
        </w:rPr>
      </w:pPr>
    </w:p>
    <w:sectPr w:rsidR="008A4235" w:rsidRPr="008A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35"/>
    <w:rsid w:val="008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A99"/>
  <w15:chartTrackingRefBased/>
  <w15:docId w15:val="{DA280333-1EF3-4E5A-9A25-C354C233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4235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2021-01-02T09:25:00Z</dcterms:created>
  <dcterms:modified xsi:type="dcterms:W3CDTF">2021-01-02T09:27:00Z</dcterms:modified>
</cp:coreProperties>
</file>