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A6" w:rsidRDefault="00BF01A6">
      <w:pPr>
        <w:pStyle w:val="Standard"/>
        <w:widowControl/>
        <w:textAlignment w:val="auto"/>
        <w:rPr>
          <w:rFonts w:ascii="Times New Roman" w:eastAsia="Times New Roman" w:hAnsi="Times New Roman"/>
          <w:lang w:eastAsia="ar-SA"/>
        </w:rPr>
      </w:pPr>
    </w:p>
    <w:tbl>
      <w:tblPr>
        <w:tblW w:w="89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BF01A6"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Code(s): BMA-LOTD17-104.01</w:t>
            </w:r>
            <w:r w:rsidR="007A45B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7A45B2">
              <w:t>BMI-LOTD17-104E</w:t>
            </w:r>
            <w:bookmarkStart w:id="0" w:name="_GoBack"/>
            <w:bookmarkEnd w:id="0"/>
          </w:p>
        </w:tc>
      </w:tr>
      <w:tr w:rsidR="00BF01A6"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Title: Introduction to Algebra</w:t>
            </w:r>
          </w:p>
        </w:tc>
      </w:tr>
      <w:tr w:rsidR="00BF01A6"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Lecturer(s): Judit Madarász</w:t>
            </w:r>
          </w:p>
        </w:tc>
      </w:tr>
      <w:tr w:rsidR="00BF01A6"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Loca</w:t>
            </w:r>
            <w:r w:rsidR="005C76A5">
              <w:rPr>
                <w:rFonts w:ascii="Times New Roman" w:eastAsia="Times New Roman" w:hAnsi="Times New Roman"/>
                <w:lang w:eastAsia="ar-SA"/>
              </w:rPr>
              <w:t xml:space="preserve">tion and time: i/204 (BI-204), </w:t>
            </w:r>
            <w:r>
              <w:rPr>
                <w:rFonts w:ascii="Times New Roman" w:eastAsia="Times New Roman" w:hAnsi="Times New Roman"/>
                <w:lang w:eastAsia="ar-SA"/>
              </w:rPr>
              <w:t>Tuesday 10:00-11:30</w:t>
            </w:r>
          </w:p>
        </w:tc>
      </w:tr>
      <w:tr w:rsidR="00BF01A6"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Consultation (e-mail): madarasz@renyi.hu</w:t>
            </w:r>
          </w:p>
        </w:tc>
      </w:tr>
    </w:tbl>
    <w:p w:rsidR="00BF01A6" w:rsidRDefault="00BF01A6">
      <w:pPr>
        <w:pStyle w:val="Standard"/>
        <w:widowControl/>
        <w:textAlignment w:val="auto"/>
        <w:rPr>
          <w:rFonts w:ascii="Times New Roman" w:eastAsia="Times New Roman" w:hAnsi="Times New Roman"/>
          <w:lang w:eastAsia="ar-SA"/>
        </w:rPr>
      </w:pPr>
    </w:p>
    <w:tbl>
      <w:tblPr>
        <w:tblW w:w="89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BF01A6">
        <w:trPr>
          <w:trHeight w:val="562"/>
        </w:trPr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General aim of the course:</w:t>
            </w:r>
          </w:p>
          <w:p w:rsidR="00BF01A6" w:rsidRDefault="00BF01A6">
            <w:pPr>
              <w:pStyle w:val="Standard"/>
              <w:widowControl/>
              <w:textAlignment w:val="auto"/>
              <w:rPr>
                <w:rFonts w:eastAsia="FreeSans"/>
              </w:rPr>
            </w:pP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Developing precise mathematical thinking.</w:t>
            </w:r>
          </w:p>
        </w:tc>
      </w:tr>
    </w:tbl>
    <w:p w:rsidR="00BF01A6" w:rsidRDefault="00BF01A6">
      <w:pPr>
        <w:pStyle w:val="Standard"/>
        <w:widowControl/>
        <w:textAlignment w:val="auto"/>
        <w:rPr>
          <w:rFonts w:ascii="Times New Roman" w:eastAsia="Times New Roman" w:hAnsi="Times New Roman"/>
          <w:lang w:eastAsia="ar-SA"/>
        </w:rPr>
      </w:pPr>
    </w:p>
    <w:tbl>
      <w:tblPr>
        <w:tblW w:w="89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BF01A6"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Content of the course:</w:t>
            </w:r>
          </w:p>
          <w:p w:rsidR="00BF01A6" w:rsidRDefault="00BF01A6">
            <w:pPr>
              <w:pStyle w:val="Standard"/>
              <w:widowControl/>
              <w:textAlignment w:val="auto"/>
              <w:rPr>
                <w:rFonts w:eastAsia="FreeSans"/>
              </w:rPr>
            </w:pP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This course is a brief introduction to abstract algebra. Mostly we will concentrate on</w:t>
            </w: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algebraic structures with a single binary operation, with a lot of examples. Topics we will</w:t>
            </w: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also touch on include lattice theory, theory of Boolean algebras, and elements of universal algebra.</w:t>
            </w:r>
          </w:p>
        </w:tc>
      </w:tr>
    </w:tbl>
    <w:p w:rsidR="00BF01A6" w:rsidRDefault="00BF01A6">
      <w:pPr>
        <w:pStyle w:val="Standard"/>
        <w:widowControl/>
        <w:textAlignment w:val="auto"/>
        <w:rPr>
          <w:rFonts w:ascii="Times New Roman" w:eastAsia="Times New Roman" w:hAnsi="Times New Roman"/>
          <w:lang w:eastAsia="ar-SA"/>
        </w:rPr>
      </w:pPr>
    </w:p>
    <w:tbl>
      <w:tblPr>
        <w:tblW w:w="89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BF01A6"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Examination and evaluation system:</w:t>
            </w:r>
          </w:p>
          <w:p w:rsidR="00BF01A6" w:rsidRDefault="00BF01A6">
            <w:pPr>
              <w:pStyle w:val="Standard"/>
              <w:widowControl/>
              <w:textAlignment w:val="auto"/>
              <w:rPr>
                <w:rFonts w:ascii="Times New Roman" w:eastAsia="Times New Roman" w:hAnsi="Times New Roman"/>
                <w:lang w:eastAsia="ar-SA"/>
              </w:rPr>
            </w:pP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Homework will be assigned and collected regularly. The grade will be based on homework.</w:t>
            </w: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Regular attendance is required.</w:t>
            </w:r>
          </w:p>
        </w:tc>
      </w:tr>
    </w:tbl>
    <w:p w:rsidR="00BF01A6" w:rsidRDefault="00BF01A6">
      <w:pPr>
        <w:pStyle w:val="Standard"/>
        <w:widowControl/>
        <w:textAlignment w:val="auto"/>
        <w:rPr>
          <w:rFonts w:ascii="Times New Roman" w:eastAsia="Times New Roman" w:hAnsi="Times New Roman"/>
          <w:lang w:eastAsia="ar-SA"/>
        </w:rPr>
      </w:pPr>
    </w:p>
    <w:tbl>
      <w:tblPr>
        <w:tblW w:w="89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BF01A6"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Bibliography:</w:t>
            </w:r>
          </w:p>
          <w:p w:rsidR="00BF01A6" w:rsidRDefault="00BF01A6">
            <w:pPr>
              <w:pStyle w:val="Standard"/>
              <w:widowControl/>
              <w:textAlignment w:val="auto"/>
              <w:rPr>
                <w:rFonts w:ascii="Times New Roman" w:eastAsia="Times New Roman" w:hAnsi="Times New Roman"/>
                <w:lang w:eastAsia="ar-SA"/>
              </w:rPr>
            </w:pP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Ivo Düntsch and Günther Gediga, Sets, Relations, Functions, Methodos Publishers (UK),</w:t>
            </w: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2000,</w:t>
            </w:r>
          </w:p>
          <w:p w:rsidR="00BF01A6" w:rsidRDefault="00BF01A6">
            <w:pPr>
              <w:pStyle w:val="Standard"/>
              <w:widowControl/>
              <w:textAlignment w:val="auto"/>
              <w:rPr>
                <w:rFonts w:ascii="Times New Roman" w:eastAsia="Times New Roman" w:hAnsi="Times New Roman"/>
                <w:lang w:eastAsia="ar-SA"/>
              </w:rPr>
            </w:pP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Branimir Seselja; How to Use Algebraic Structures, In Electronic Book:</w:t>
            </w: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Mathematics in Sciences and Everyday Life University of Szeged - University of Novi Sad,</w:t>
            </w: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2011, </w:t>
            </w:r>
            <w:hyperlink r:id="rId6" w:history="1">
              <w:r>
                <w:rPr>
                  <w:rFonts w:ascii="Times New Roman" w:eastAsia="Times New Roman" w:hAnsi="Times New Roman"/>
                  <w:color w:val="000080"/>
                  <w:u w:val="single"/>
                  <w:lang w:eastAsia="ar-SA"/>
                </w:rPr>
                <w:t>http://www.model.u-szeged.hu/etc/edoc/imp/BSeselja/BSeselja.pdf</w:t>
              </w:r>
            </w:hyperlink>
          </w:p>
          <w:p w:rsidR="00BF01A6" w:rsidRDefault="00BF01A6">
            <w:pPr>
              <w:pStyle w:val="Standard"/>
              <w:widowControl/>
              <w:textAlignment w:val="auto"/>
              <w:rPr>
                <w:rFonts w:ascii="Times New Roman" w:eastAsia="Times New Roman" w:hAnsi="Times New Roman"/>
                <w:lang w:eastAsia="ar-SA"/>
              </w:rPr>
            </w:pP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Charles C. Pinter, A Book of Abstract Algebra, Dover,</w:t>
            </w:r>
          </w:p>
          <w:p w:rsidR="00BF01A6" w:rsidRDefault="00BF01A6">
            <w:pPr>
              <w:pStyle w:val="Standard"/>
              <w:widowControl/>
              <w:textAlignment w:val="auto"/>
              <w:rPr>
                <w:rFonts w:ascii="Times New Roman" w:eastAsia="Times New Roman" w:hAnsi="Times New Roman"/>
                <w:lang w:eastAsia="ar-SA"/>
              </w:rPr>
            </w:pP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Maurer I. Gyula és Virág Imre, A relációelmélet elemei, Dacia, Kolozsvár, 1972</w:t>
            </w:r>
          </w:p>
          <w:p w:rsidR="00BF01A6" w:rsidRDefault="00BF01A6">
            <w:pPr>
              <w:pStyle w:val="Standard"/>
              <w:widowControl/>
              <w:textAlignment w:val="auto"/>
            </w:pP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B. A. Davey, H. A. Priestley, Introduction to Lattices and Order, Cambridge University</w:t>
            </w: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Press, 2002</w:t>
            </w:r>
          </w:p>
          <w:p w:rsidR="00BF01A6" w:rsidRDefault="00BF01A6">
            <w:pPr>
              <w:pStyle w:val="Standard"/>
              <w:widowControl/>
              <w:textAlignment w:val="auto"/>
              <w:rPr>
                <w:rFonts w:ascii="Times New Roman" w:eastAsia="Times New Roman" w:hAnsi="Times New Roman"/>
                <w:lang w:eastAsia="ar-SA"/>
              </w:rPr>
            </w:pP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Stanley N. Burris and H.P. Sankappanavar, A Course in Universal Algebra, The Millennium</w:t>
            </w: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Edition, http://www.math.uwaterloo.ca/~snburris/htdocs/UALG/univ-algebra2012.pdf</w:t>
            </w:r>
          </w:p>
          <w:p w:rsidR="00BF01A6" w:rsidRDefault="008E3493">
            <w:pPr>
              <w:pStyle w:val="Standard"/>
              <w:widowControl/>
              <w:textAlignment w:val="auto"/>
            </w:pPr>
            <w:r>
              <w:rPr>
                <w:rFonts w:ascii="Times New Roman" w:eastAsia="Times New Roman" w:hAnsi="Times New Roman"/>
                <w:lang w:eastAsia="ar-SA"/>
              </w:rPr>
              <w:t>(In Hungarian: Bevezetés az univerzális algebrába, Tankönyvkiadó, 1988.)</w:t>
            </w:r>
          </w:p>
        </w:tc>
      </w:tr>
    </w:tbl>
    <w:p w:rsidR="00BF01A6" w:rsidRDefault="00BF01A6">
      <w:pPr>
        <w:pStyle w:val="Standard"/>
        <w:widowControl/>
        <w:textAlignment w:val="auto"/>
        <w:rPr>
          <w:rFonts w:ascii="Times New Roman" w:eastAsia="Times New Roman" w:hAnsi="Times New Roman"/>
          <w:lang w:eastAsia="ar-SA"/>
        </w:rPr>
      </w:pPr>
    </w:p>
    <w:p w:rsidR="00BF01A6" w:rsidRDefault="00BF01A6">
      <w:pPr>
        <w:pStyle w:val="Standard"/>
        <w:widowControl/>
        <w:textAlignment w:val="auto"/>
      </w:pPr>
    </w:p>
    <w:sectPr w:rsidR="00BF01A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60" w:rsidRDefault="00DC1560">
      <w:r>
        <w:separator/>
      </w:r>
    </w:p>
  </w:endnote>
  <w:endnote w:type="continuationSeparator" w:id="0">
    <w:p w:rsidR="00DC1560" w:rsidRDefault="00DC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60" w:rsidRDefault="00DC1560">
      <w:r>
        <w:rPr>
          <w:color w:val="000000"/>
        </w:rPr>
        <w:separator/>
      </w:r>
    </w:p>
  </w:footnote>
  <w:footnote w:type="continuationSeparator" w:id="0">
    <w:p w:rsidR="00DC1560" w:rsidRDefault="00DC1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A6"/>
    <w:rsid w:val="005201FD"/>
    <w:rsid w:val="005C76A5"/>
    <w:rsid w:val="007A45B2"/>
    <w:rsid w:val="008E3493"/>
    <w:rsid w:val="00BF01A6"/>
    <w:rsid w:val="00DC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947FC-F7C7-411D-916A-53DAA48B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SungtiL GB" w:hAnsi="Liberation Serif" w:cs="Lohit Devanagari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Pr>
      <w:rFonts w:eastAsia="Liberation Serif" w:cs="Liberation Serif"/>
      <w:color w:val="000000"/>
      <w:lang w:eastAsia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FreeSans" w:hAnsi="Liberation Sans" w:cs="Liberation Sans"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0"/>
    <w:rPr>
      <w:rFonts w:eastAsia="FreeSans"/>
    </w:rPr>
  </w:style>
  <w:style w:type="paragraph" w:styleId="Kpalrs">
    <w:name w:val="caption"/>
    <w:basedOn w:val="Standard"/>
    <w:pPr>
      <w:spacing w:before="120" w:after="120"/>
    </w:pPr>
    <w:rPr>
      <w:rFonts w:eastAsia="FreeSans"/>
      <w:i/>
    </w:rPr>
  </w:style>
  <w:style w:type="paragraph" w:customStyle="1" w:styleId="Index">
    <w:name w:val="Index"/>
    <w:basedOn w:val="Standard"/>
    <w:rPr>
      <w:rFonts w:eastAsia="FreeSans"/>
    </w:rPr>
  </w:style>
  <w:style w:type="paragraph" w:customStyle="1" w:styleId="TextBody0">
    <w:name w:val="Text Body"/>
    <w:basedOn w:val="Standard"/>
    <w:pPr>
      <w:spacing w:after="140" w:line="288" w:lineRule="auto"/>
    </w:pPr>
  </w:style>
  <w:style w:type="character" w:customStyle="1" w:styleId="ListLabel1">
    <w:name w:val="ListLabel 1"/>
    <w:rPr>
      <w:rFonts w:ascii="Liberation Serif" w:eastAsia="Liberation Serif" w:hAnsi="Liberation Serif" w:cs="Liberation Seri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ascii="Times New Roman" w:eastAsia="Times New Roman" w:hAnsi="Times New Roman" w:cs="Times New Roman"/>
      <w:color w:val="000080"/>
      <w:u w:val="single"/>
      <w:lang w:eastAsia="ar-SA"/>
    </w:rPr>
  </w:style>
  <w:style w:type="character" w:customStyle="1" w:styleId="Internetlink0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el.u-szeged.hu/etc/edoc/imp/BSeselja/BSeselj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User</cp:lastModifiedBy>
  <cp:revision>5</cp:revision>
  <cp:lastPrinted>2005-09-12T01:19:00Z</cp:lastPrinted>
  <dcterms:created xsi:type="dcterms:W3CDTF">2020-08-31T20:57:00Z</dcterms:created>
  <dcterms:modified xsi:type="dcterms:W3CDTF">2020-08-31T21:01:00Z</dcterms:modified>
</cp:coreProperties>
</file>