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0FE0" w:rsidRPr="001C1117" w14:paraId="77187FD9" w14:textId="77777777" w:rsidTr="000327B7">
        <w:tc>
          <w:tcPr>
            <w:tcW w:w="9212" w:type="dxa"/>
          </w:tcPr>
          <w:p w14:paraId="522BD85E" w14:textId="77777777" w:rsidR="00F80FE0" w:rsidRPr="0091712D" w:rsidRDefault="00F80FE0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91712D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91712D">
              <w:rPr>
                <w:rFonts w:ascii="Garamond" w:hAnsi="Garamond" w:cs="Times New Roman"/>
                <w:b/>
                <w:bCs/>
                <w:lang w:val="en-GB"/>
              </w:rPr>
              <w:t xml:space="preserve">BMI-LOTD-329E.04, </w:t>
            </w:r>
            <w:r w:rsidRPr="0091712D">
              <w:rPr>
                <w:rFonts w:ascii="Garamond" w:hAnsi="Garamond"/>
                <w:b/>
                <w:bCs/>
              </w:rPr>
              <w:t>BMA-LOTD-329.04</w:t>
            </w:r>
          </w:p>
        </w:tc>
      </w:tr>
      <w:tr w:rsidR="00F80FE0" w:rsidRPr="001C1117" w14:paraId="162049E9" w14:textId="77777777" w:rsidTr="000327B7">
        <w:tc>
          <w:tcPr>
            <w:tcW w:w="9212" w:type="dxa"/>
          </w:tcPr>
          <w:p w14:paraId="01EDAD5C" w14:textId="77777777" w:rsidR="00F80FE0" w:rsidRPr="001C1117" w:rsidRDefault="00F80FE0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Algebraic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Provability</w:t>
            </w:r>
            <w:proofErr w:type="spellEnd"/>
            <w:r w:rsidRPr="001C1117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1C1117">
              <w:rPr>
                <w:rFonts w:ascii="Garamond" w:hAnsi="Garamond"/>
                <w:b/>
                <w:bCs/>
              </w:rPr>
              <w:t>Logic</w:t>
            </w:r>
            <w:proofErr w:type="spellEnd"/>
          </w:p>
        </w:tc>
      </w:tr>
      <w:tr w:rsidR="00F80FE0" w:rsidRPr="001C1117" w14:paraId="3D3AB4F5" w14:textId="77777777" w:rsidTr="000327B7">
        <w:tc>
          <w:tcPr>
            <w:tcW w:w="9212" w:type="dxa"/>
          </w:tcPr>
          <w:p w14:paraId="6FC03EEB" w14:textId="77777777" w:rsidR="00F80FE0" w:rsidRPr="001C1117" w:rsidRDefault="00F80FE0" w:rsidP="000327B7">
            <w:pPr>
              <w:suppressAutoHyphens/>
              <w:spacing w:after="0"/>
              <w:rPr>
                <w:rFonts w:ascii="Garamond" w:hAnsi="Garamond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 w:rsidRPr="00BB756D">
              <w:rPr>
                <w:rFonts w:ascii="Garamond" w:hAnsi="Garamond"/>
                <w:b/>
                <w:lang w:val="en-GB"/>
              </w:rPr>
              <w:t>Övge</w:t>
            </w:r>
            <w:proofErr w:type="spellEnd"/>
            <w:r w:rsidRPr="00BB756D">
              <w:rPr>
                <w:rFonts w:ascii="Garamond" w:hAnsi="Garamond"/>
                <w:b/>
                <w:lang w:val="en-GB"/>
              </w:rPr>
              <w:t xml:space="preserve"> </w:t>
            </w:r>
            <w:proofErr w:type="spellStart"/>
            <w:r w:rsidRPr="00BB756D">
              <w:rPr>
                <w:rFonts w:ascii="Garamond" w:hAnsi="Garamond"/>
                <w:b/>
                <w:lang w:val="en-GB"/>
              </w:rPr>
              <w:t>Öztürk</w:t>
            </w:r>
            <w:proofErr w:type="spellEnd"/>
          </w:p>
        </w:tc>
      </w:tr>
      <w:tr w:rsidR="00F80FE0" w:rsidRPr="001C1117" w14:paraId="00573A13" w14:textId="77777777" w:rsidTr="000327B7">
        <w:tc>
          <w:tcPr>
            <w:tcW w:w="9212" w:type="dxa"/>
          </w:tcPr>
          <w:p w14:paraId="103CF0F3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kern w:val="3"/>
              </w:rPr>
            </w:pPr>
            <w:r w:rsidRPr="00184B57">
              <w:rPr>
                <w:rFonts w:ascii="Garamond" w:eastAsia="Times New Roman" w:hAnsi="Garamond" w:cs="Calibri"/>
                <w:b/>
                <w:kern w:val="3"/>
                <w:lang w:val="en-GB"/>
              </w:rPr>
              <w:t xml:space="preserve">General aim of the course: </w:t>
            </w:r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Getting familiar with the concept of provability, fixed points theorems, modal completeness and compactness, algebraization, Provability logic and </w:t>
            </w: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Magari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 algebras</w:t>
            </w:r>
          </w:p>
          <w:p w14:paraId="0CF45ADE" w14:textId="77777777" w:rsidR="00F80FE0" w:rsidRPr="00184B57" w:rsidRDefault="00F80FE0" w:rsidP="000327B7">
            <w:pPr>
              <w:suppressAutoHyphens/>
              <w:autoSpaceDN w:val="0"/>
              <w:spacing w:after="0" w:line="276" w:lineRule="auto"/>
              <w:rPr>
                <w:rFonts w:ascii="Calibri" w:eastAsia="Times New Roman" w:hAnsi="Calibri" w:cs="Liberation Serif"/>
                <w:color w:val="000000"/>
                <w:kern w:val="3"/>
                <w:lang w:eastAsia="hu-HU" w:bidi="hi-IN"/>
              </w:rPr>
            </w:pPr>
            <w:r w:rsidRPr="00184B57">
              <w:rPr>
                <w:rFonts w:ascii="Garamond" w:eastAsia="Times New Roman" w:hAnsi="Garamond" w:cs="Times New Roman"/>
                <w:b/>
                <w:color w:val="000000"/>
                <w:kern w:val="3"/>
                <w:lang w:val="en-GB" w:eastAsia="hu-HU" w:bidi="hi-IN"/>
              </w:rPr>
              <w:t xml:space="preserve">Content of the course: </w:t>
            </w:r>
            <w:r w:rsidRPr="00184B57">
              <w:rPr>
                <w:rFonts w:ascii="Garamond" w:eastAsia="Times New Roman" w:hAnsi="Garamond" w:cs="Times New Roman"/>
                <w:color w:val="000000"/>
                <w:kern w:val="3"/>
                <w:lang w:val="en-GB" w:eastAsia="hu-HU" w:bidi="hi-IN"/>
              </w:rPr>
              <w:t xml:space="preserve">Basics of Universal Algebraic Logic, Introduction to Modal Logic, Provability Logic, </w:t>
            </w:r>
            <w:proofErr w:type="spellStart"/>
            <w:r w:rsidRPr="00184B57">
              <w:rPr>
                <w:rFonts w:ascii="Garamond" w:eastAsia="Times New Roman" w:hAnsi="Garamond" w:cs="Times New Roman"/>
                <w:color w:val="000000"/>
                <w:kern w:val="3"/>
                <w:lang w:val="en-GB" w:eastAsia="hu-HU" w:bidi="hi-IN"/>
              </w:rPr>
              <w:t>Magari</w:t>
            </w:r>
            <w:proofErr w:type="spellEnd"/>
            <w:r w:rsidRPr="00184B57">
              <w:rPr>
                <w:rFonts w:ascii="Garamond" w:eastAsia="Times New Roman" w:hAnsi="Garamond" w:cs="Times New Roman"/>
                <w:color w:val="000000"/>
                <w:kern w:val="3"/>
                <w:lang w:val="en-GB" w:eastAsia="hu-HU" w:bidi="hi-IN"/>
              </w:rPr>
              <w:t xml:space="preserve"> Algebras, Algebraic Semantics, Algebraization, Compactness Characterization</w:t>
            </w:r>
          </w:p>
          <w:p w14:paraId="154EC028" w14:textId="77777777" w:rsidR="00F80FE0" w:rsidRPr="00184B57" w:rsidRDefault="00F80FE0" w:rsidP="000327B7">
            <w:pPr>
              <w:suppressAutoHyphens/>
              <w:autoSpaceDN w:val="0"/>
              <w:spacing w:after="0" w:line="276" w:lineRule="auto"/>
              <w:rPr>
                <w:rFonts w:ascii="Calibri" w:eastAsia="Times New Roman" w:hAnsi="Calibri" w:cs="Liberation Serif"/>
                <w:color w:val="000000"/>
                <w:kern w:val="3"/>
                <w:lang w:eastAsia="hu-HU" w:bidi="hi-IN"/>
              </w:rPr>
            </w:pPr>
            <w:r w:rsidRPr="00184B57">
              <w:rPr>
                <w:rFonts w:ascii="Garamond" w:eastAsia="Times New Roman" w:hAnsi="Garamond" w:cs="Calibri"/>
                <w:b/>
                <w:color w:val="000000"/>
                <w:kern w:val="3"/>
                <w:lang w:val="en-GB" w:eastAsia="hu-HU" w:bidi="hi-IN"/>
              </w:rPr>
              <w:t>Grading criteria, specific requirements:</w:t>
            </w:r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 w:eastAsia="hu-HU" w:bidi="hi-IN"/>
              </w:rPr>
              <w:t xml:space="preserve"> Weekly assignments</w:t>
            </w:r>
          </w:p>
          <w:p w14:paraId="092E7947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kern w:val="3"/>
              </w:rPr>
            </w:pPr>
            <w:r w:rsidRPr="00184B57">
              <w:rPr>
                <w:rFonts w:ascii="Garamond" w:eastAsia="Times New Roman" w:hAnsi="Garamond" w:cs="Calibri"/>
                <w:b/>
                <w:kern w:val="3"/>
                <w:lang w:val="en-GB"/>
              </w:rPr>
              <w:t xml:space="preserve">Required reading: </w:t>
            </w: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Boolos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, G. (1994). The Logic of Provability. Cambridge: Cambridge University Press. doi:10.1017/CBO9780511625183</w:t>
            </w:r>
          </w:p>
          <w:p w14:paraId="56EF5BDA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kern w:val="3"/>
              </w:rPr>
            </w:pPr>
            <w:r w:rsidRPr="00184B57">
              <w:rPr>
                <w:rFonts w:ascii="Garamond" w:eastAsia="Times New Roman" w:hAnsi="Garamond" w:cs="Calibri"/>
                <w:b/>
                <w:kern w:val="3"/>
                <w:lang w:val="en-GB"/>
              </w:rPr>
              <w:t>Suggested further reading:</w:t>
            </w:r>
          </w:p>
          <w:p w14:paraId="37A3A9D7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Calibri" w:eastAsia="Times New Roman" w:hAnsi="Calibri" w:cs="Calibri"/>
                <w:kern w:val="3"/>
              </w:rPr>
            </w:pP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Andreka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, H., </w:t>
            </w: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Nemeti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, I. and Sain, I., Algebraic Logic. In: Handbook of Philosophical Logic </w:t>
            </w: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Vol.II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, 2nd Edition. Editors: D. M. </w:t>
            </w:r>
            <w:proofErr w:type="spell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Gabbay</w:t>
            </w:r>
            <w:proofErr w:type="spell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 xml:space="preserve"> and </w:t>
            </w:r>
            <w:proofErr w:type="spellStart"/>
            <w:proofErr w:type="gramStart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F.Guenthner</w:t>
            </w:r>
            <w:proofErr w:type="spellEnd"/>
            <w:proofErr w:type="gramEnd"/>
            <w:r w:rsidRPr="00184B57">
              <w:rPr>
                <w:rFonts w:ascii="Garamond" w:eastAsia="Times New Roman" w:hAnsi="Garamond" w:cs="Calibri"/>
                <w:kern w:val="3"/>
                <w:lang w:val="en-GB"/>
              </w:rPr>
              <w:t>. Kluwer Academic Publishers, 2001.</w:t>
            </w:r>
          </w:p>
          <w:p w14:paraId="1CB7694F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</w:pP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Artemov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S.N.,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Beklemishev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L.D., Provability Logic.  In:  Handbook of Philosophical Logic, 2nd Edition.  Handbook of Philosophical Logic, Vol 13.</w:t>
            </w:r>
            <w:r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</w:t>
            </w:r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Editors: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Gabbay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D.,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Guenthner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F. Springer, Dordrecht, 2005.</w:t>
            </w:r>
          </w:p>
          <w:p w14:paraId="434FCB20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</w:pPr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The fixed-point theorem for diagonalizable algebras. Stu-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dia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Logica, Vol.  34, No.  3, 239–251, 1975.</w:t>
            </w:r>
          </w:p>
          <w:p w14:paraId="673052C7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</w:pPr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Blackburn, P., de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Rijke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, M.,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Venema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, Y., Modal Logic and Their Al-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gebras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.  In:  Algebraic Tools for Modal Logic.  Editors: 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Gehrke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, M., </w:t>
            </w:r>
            <w:proofErr w:type="spellStart"/>
            <w:proofErr w:type="gram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Venema,Y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.</w:t>
            </w:r>
            <w:proofErr w:type="gram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Helsinki, Finland, 2001.</w:t>
            </w:r>
          </w:p>
          <w:p w14:paraId="43E4996C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</w:pPr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Blok, W.J 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Pigozzi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, D., Algebraizable logics. Memories of the Amer-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ican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 xml:space="preserve"> Mathematical Society, Providence, Rhode Island, USA, 1989.</w:t>
            </w:r>
          </w:p>
          <w:p w14:paraId="33DEAB1D" w14:textId="77777777" w:rsidR="00F80FE0" w:rsidRPr="00184B57" w:rsidRDefault="00F80FE0" w:rsidP="000327B7">
            <w:pPr>
              <w:suppressAutoHyphens/>
              <w:autoSpaceDN w:val="0"/>
              <w:spacing w:after="0" w:line="256" w:lineRule="auto"/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</w:pP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Magari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, R., Representation and duality theory for diagonalizable al-</w:t>
            </w:r>
            <w:proofErr w:type="spellStart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gebras</w:t>
            </w:r>
            <w:proofErr w:type="spellEnd"/>
            <w:r w:rsidRPr="00184B57">
              <w:rPr>
                <w:rFonts w:ascii="Garamond" w:eastAsia="Times New Roman" w:hAnsi="Garamond" w:cs="Calibri"/>
                <w:color w:val="000000"/>
                <w:kern w:val="3"/>
                <w:lang w:val="en-GB"/>
              </w:rPr>
              <w:t>. Studia Logica, Vol. 34, No. 4, 305–313, 1935.</w:t>
            </w:r>
          </w:p>
        </w:tc>
      </w:tr>
    </w:tbl>
    <w:p w14:paraId="35F3E93E" w14:textId="77777777" w:rsidR="00F80FE0" w:rsidRDefault="00F80FE0"/>
    <w:sectPr w:rsidR="00F8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E0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567F"/>
  <w15:chartTrackingRefBased/>
  <w15:docId w15:val="{AA76A76B-4DB6-4244-9D2E-F6F0A83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FE0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2021-01-01T12:49:00Z</dcterms:created>
  <dcterms:modified xsi:type="dcterms:W3CDTF">2021-01-01T12:50:00Z</dcterms:modified>
</cp:coreProperties>
</file>