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7F8E" w14:textId="005BEA9B" w:rsidR="002D462A" w:rsidRDefault="002D462A"/>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D462A" w:rsidRPr="001C1117" w14:paraId="47B7A47C" w14:textId="77777777" w:rsidTr="000327B7">
        <w:tc>
          <w:tcPr>
            <w:tcW w:w="9212" w:type="dxa"/>
          </w:tcPr>
          <w:p w14:paraId="06CB7E44" w14:textId="77777777" w:rsidR="002D462A" w:rsidRPr="001C1117" w:rsidRDefault="002D462A" w:rsidP="000327B7">
            <w:pPr>
              <w:spacing w:after="0"/>
              <w:rPr>
                <w:rFonts w:ascii="Garamond" w:hAnsi="Garamond" w:cs="Times New Roman"/>
                <w:lang w:val="en-GB"/>
              </w:rPr>
            </w:pPr>
            <w:r w:rsidRPr="001C1117">
              <w:rPr>
                <w:rFonts w:ascii="Garamond" w:hAnsi="Garamond" w:cs="Times New Roman"/>
                <w:lang w:val="en-GB"/>
              </w:rPr>
              <w:t xml:space="preserve">Code of course: </w:t>
            </w:r>
            <w:r w:rsidRPr="001C1117">
              <w:rPr>
                <w:rFonts w:ascii="Garamond" w:hAnsi="Garamond" w:cs="Times New Roman"/>
                <w:b/>
                <w:bCs/>
                <w:lang w:val="en-GB"/>
              </w:rPr>
              <w:t>BMI-LOTD-306E.01</w:t>
            </w:r>
            <w:r>
              <w:rPr>
                <w:rFonts w:ascii="Garamond" w:hAnsi="Garamond" w:cs="Times New Roman"/>
                <w:b/>
                <w:bCs/>
                <w:lang w:val="en-GB"/>
              </w:rPr>
              <w:t xml:space="preserve">, </w:t>
            </w:r>
            <w:r w:rsidRPr="00DD4FD3">
              <w:rPr>
                <w:rFonts w:ascii="Garamond" w:hAnsi="Garamond"/>
                <w:b/>
                <w:bCs/>
              </w:rPr>
              <w:t>BMA-LOTD-306.01</w:t>
            </w:r>
          </w:p>
        </w:tc>
      </w:tr>
      <w:tr w:rsidR="002D462A" w:rsidRPr="001C1117" w14:paraId="5F17B14D" w14:textId="77777777" w:rsidTr="000327B7">
        <w:tc>
          <w:tcPr>
            <w:tcW w:w="9212" w:type="dxa"/>
          </w:tcPr>
          <w:p w14:paraId="6B2E0236" w14:textId="77777777" w:rsidR="002D462A" w:rsidRPr="001C1117" w:rsidRDefault="002D462A" w:rsidP="000327B7">
            <w:pPr>
              <w:spacing w:after="0"/>
              <w:rPr>
                <w:rFonts w:ascii="Garamond" w:hAnsi="Garamond" w:cs="Times New Roman"/>
                <w:lang w:val="en-GB"/>
              </w:rPr>
            </w:pPr>
            <w:r w:rsidRPr="001C1117">
              <w:rPr>
                <w:rFonts w:ascii="Garamond" w:hAnsi="Garamond" w:cs="Times New Roman"/>
                <w:lang w:val="en-GB"/>
              </w:rPr>
              <w:t xml:space="preserve">Title of course: </w:t>
            </w:r>
            <w:r w:rsidRPr="001C1117">
              <w:rPr>
                <w:rFonts w:ascii="Garamond" w:hAnsi="Garamond" w:cs="Times New Roman"/>
                <w:b/>
                <w:lang w:val="en-GB"/>
              </w:rPr>
              <w:t>Introduction to Forcing</w:t>
            </w:r>
          </w:p>
        </w:tc>
      </w:tr>
      <w:tr w:rsidR="002D462A" w:rsidRPr="001C1117" w14:paraId="47C1B014" w14:textId="77777777" w:rsidTr="000327B7">
        <w:tc>
          <w:tcPr>
            <w:tcW w:w="9212" w:type="dxa"/>
          </w:tcPr>
          <w:p w14:paraId="2AF9AF2A" w14:textId="77777777" w:rsidR="002D462A" w:rsidRPr="001C1117" w:rsidRDefault="002D462A" w:rsidP="000327B7">
            <w:pPr>
              <w:suppressAutoHyphens/>
              <w:spacing w:after="0"/>
              <w:rPr>
                <w:rFonts w:ascii="Garamond" w:hAnsi="Garamond"/>
                <w:lang w:val="en-GB"/>
              </w:rPr>
            </w:pPr>
            <w:r w:rsidRPr="001C1117">
              <w:rPr>
                <w:rFonts w:ascii="Garamond" w:hAnsi="Garamond"/>
                <w:lang w:val="en-GB"/>
              </w:rPr>
              <w:t xml:space="preserve">Lecturer: </w:t>
            </w:r>
            <w:proofErr w:type="spellStart"/>
            <w:r w:rsidRPr="001C1117">
              <w:rPr>
                <w:rFonts w:ascii="Garamond" w:hAnsi="Garamond"/>
                <w:b/>
                <w:lang w:val="en-GB"/>
              </w:rPr>
              <w:t>Amitayu</w:t>
            </w:r>
            <w:proofErr w:type="spellEnd"/>
            <w:r w:rsidRPr="001C1117">
              <w:rPr>
                <w:rFonts w:ascii="Garamond" w:hAnsi="Garamond"/>
                <w:b/>
                <w:lang w:val="en-GB"/>
              </w:rPr>
              <w:t xml:space="preserve"> Banerjee</w:t>
            </w:r>
          </w:p>
        </w:tc>
      </w:tr>
      <w:tr w:rsidR="002D462A" w:rsidRPr="001C1117" w14:paraId="7560B4E3" w14:textId="77777777" w:rsidTr="000327B7">
        <w:tc>
          <w:tcPr>
            <w:tcW w:w="9212" w:type="dxa"/>
          </w:tcPr>
          <w:p w14:paraId="6C8CD697" w14:textId="77777777" w:rsidR="002D462A" w:rsidRPr="001C1117" w:rsidRDefault="002D462A" w:rsidP="000327B7">
            <w:pPr>
              <w:spacing w:after="0"/>
              <w:rPr>
                <w:rFonts w:ascii="Garamond" w:hAnsi="Garamond"/>
                <w:b/>
                <w:lang w:val="en-GB"/>
              </w:rPr>
            </w:pPr>
            <w:r w:rsidRPr="001C1117">
              <w:rPr>
                <w:rFonts w:ascii="Garamond" w:hAnsi="Garamond"/>
                <w:b/>
                <w:lang w:val="en-GB"/>
              </w:rPr>
              <w:t xml:space="preserve">General aim of the course: </w:t>
            </w:r>
          </w:p>
          <w:p w14:paraId="72114B33" w14:textId="77777777" w:rsidR="002D462A" w:rsidRPr="001C1117" w:rsidRDefault="002D462A" w:rsidP="000327B7">
            <w:pPr>
              <w:spacing w:after="0"/>
              <w:rPr>
                <w:rFonts w:ascii="Garamond" w:hAnsi="Garamond"/>
                <w:lang w:val="en-GB"/>
              </w:rPr>
            </w:pPr>
            <w:r w:rsidRPr="001C1117">
              <w:rPr>
                <w:rFonts w:ascii="Garamond" w:hAnsi="Garamond"/>
                <w:lang w:val="en-GB"/>
              </w:rPr>
              <w:t xml:space="preserve">Getting acquainted with the basics of Forcing. We will also see some applications of forcing in other fields (like in Modal logic, Algebra, Graph theory etc) after covering the contents of the course. </w:t>
            </w:r>
          </w:p>
          <w:p w14:paraId="1C7ED68B" w14:textId="77777777" w:rsidR="002D462A" w:rsidRPr="001C1117" w:rsidRDefault="002D462A" w:rsidP="000327B7">
            <w:pPr>
              <w:pStyle w:val="Te1e1e1e1ble1e1e1e1zattartalom"/>
              <w:spacing w:after="0"/>
              <w:rPr>
                <w:rFonts w:ascii="Garamond" w:hAnsi="Garamond" w:cs="Times New Roman"/>
                <w:b/>
                <w:lang w:val="en-GB"/>
              </w:rPr>
            </w:pPr>
            <w:r w:rsidRPr="001C1117">
              <w:rPr>
                <w:rFonts w:ascii="Garamond" w:hAnsi="Garamond" w:cs="Times New Roman"/>
                <w:b/>
                <w:lang w:val="en-GB"/>
              </w:rPr>
              <w:t xml:space="preserve">Content of the course: </w:t>
            </w:r>
          </w:p>
          <w:p w14:paraId="48F96571" w14:textId="77777777" w:rsidR="002D462A" w:rsidRPr="001C1117" w:rsidRDefault="002D462A" w:rsidP="000327B7">
            <w:pPr>
              <w:pStyle w:val="Te1e1e1e1ble1e1e1e1zattartalom"/>
              <w:spacing w:after="0"/>
              <w:rPr>
                <w:rFonts w:ascii="Garamond" w:hAnsi="Garamond" w:cs="Times New Roman"/>
                <w:b/>
                <w:lang w:val="en-GB"/>
              </w:rPr>
            </w:pPr>
            <w:r w:rsidRPr="001C1117">
              <w:rPr>
                <w:rFonts w:ascii="Garamond" w:hAnsi="Garamond" w:cs="Times New Roman"/>
                <w:lang w:val="en-GB"/>
              </w:rPr>
              <w:t xml:space="preserve">Basics of Forcing, Cardinal collapse prevention after forcing, Cohen forcing, Levy collapse, </w:t>
            </w:r>
            <w:proofErr w:type="spellStart"/>
            <w:r w:rsidRPr="001C1117">
              <w:rPr>
                <w:rFonts w:ascii="Garamond" w:hAnsi="Garamond" w:cs="Times New Roman"/>
                <w:lang w:val="en-GB"/>
              </w:rPr>
              <w:t>Prikry</w:t>
            </w:r>
            <w:proofErr w:type="spellEnd"/>
            <w:r w:rsidRPr="001C1117">
              <w:rPr>
                <w:rFonts w:ascii="Garamond" w:hAnsi="Garamond" w:cs="Times New Roman"/>
                <w:lang w:val="en-GB"/>
              </w:rPr>
              <w:t xml:space="preserve"> forcing, Product forcing, Iterated forcing, Martin’s axiom and Forcing axioms, Independence of General Continuum hypothesis (GCH) and independence of the Axiom of </w:t>
            </w:r>
            <w:proofErr w:type="gramStart"/>
            <w:r w:rsidRPr="001C1117">
              <w:rPr>
                <w:rFonts w:ascii="Garamond" w:hAnsi="Garamond" w:cs="Times New Roman"/>
                <w:lang w:val="en-GB"/>
              </w:rPr>
              <w:t>choice(</w:t>
            </w:r>
            <w:proofErr w:type="gramEnd"/>
            <w:r w:rsidRPr="001C1117">
              <w:rPr>
                <w:rFonts w:ascii="Garamond" w:hAnsi="Garamond" w:cs="Times New Roman"/>
                <w:lang w:val="en-GB"/>
              </w:rPr>
              <w:t xml:space="preserve">AC) from other axioms of </w:t>
            </w:r>
            <w:proofErr w:type="spellStart"/>
            <w:r w:rsidRPr="001C1117">
              <w:rPr>
                <w:rFonts w:ascii="Garamond" w:hAnsi="Garamond" w:cs="Times New Roman"/>
                <w:lang w:val="en-GB"/>
              </w:rPr>
              <w:t>Zermelo</w:t>
            </w:r>
            <w:proofErr w:type="spellEnd"/>
            <w:r w:rsidRPr="001C1117">
              <w:rPr>
                <w:rFonts w:ascii="Garamond" w:hAnsi="Garamond" w:cs="Times New Roman"/>
                <w:lang w:val="en-GB"/>
              </w:rPr>
              <w:t>--Fraenkel set theory with choice (ZFC).</w:t>
            </w:r>
          </w:p>
          <w:p w14:paraId="22B57CD0" w14:textId="77777777" w:rsidR="002D462A" w:rsidRPr="001C1117" w:rsidRDefault="002D462A" w:rsidP="000327B7">
            <w:pPr>
              <w:pStyle w:val="Te1e1e1e1ble1e1e1e1zattartalom"/>
              <w:spacing w:after="0"/>
              <w:rPr>
                <w:rFonts w:ascii="Garamond" w:hAnsi="Garamond"/>
                <w:b/>
                <w:lang w:val="en-GB"/>
              </w:rPr>
            </w:pPr>
            <w:r w:rsidRPr="001C1117">
              <w:rPr>
                <w:rFonts w:ascii="Garamond" w:hAnsi="Garamond"/>
                <w:b/>
                <w:lang w:val="en-GB"/>
              </w:rPr>
              <w:t xml:space="preserve">Grading criteria, specific requirements: </w:t>
            </w:r>
          </w:p>
          <w:p w14:paraId="27820C75" w14:textId="77777777" w:rsidR="002D462A" w:rsidRPr="001C1117" w:rsidRDefault="002D462A" w:rsidP="000327B7">
            <w:pPr>
              <w:pStyle w:val="Te1e1e1e1ble1e1e1e1zattartalom"/>
              <w:spacing w:after="0"/>
              <w:rPr>
                <w:rFonts w:ascii="Garamond" w:hAnsi="Garamond" w:cs="Times New Roman"/>
                <w:b/>
                <w:lang w:val="en-GB"/>
              </w:rPr>
            </w:pPr>
            <w:r w:rsidRPr="001C1117">
              <w:rPr>
                <w:rFonts w:ascii="Garamond" w:hAnsi="Garamond"/>
                <w:lang w:val="en-GB"/>
              </w:rPr>
              <w:t>Oral exam and assignments.</w:t>
            </w:r>
            <w:r w:rsidRPr="001C1117">
              <w:rPr>
                <w:rFonts w:ascii="Garamond" w:hAnsi="Garamond"/>
                <w:b/>
                <w:lang w:val="en-GB"/>
              </w:rPr>
              <w:t xml:space="preserve"> </w:t>
            </w:r>
          </w:p>
          <w:p w14:paraId="4324B6A0" w14:textId="77777777" w:rsidR="002D462A" w:rsidRPr="001C1117" w:rsidRDefault="002D462A" w:rsidP="000327B7">
            <w:pPr>
              <w:spacing w:after="0"/>
              <w:rPr>
                <w:rFonts w:ascii="Garamond" w:hAnsi="Garamond"/>
                <w:b/>
                <w:lang w:val="en-GB"/>
              </w:rPr>
            </w:pPr>
            <w:r w:rsidRPr="001C1117">
              <w:rPr>
                <w:rFonts w:ascii="Garamond" w:hAnsi="Garamond"/>
                <w:b/>
                <w:lang w:val="en-GB"/>
              </w:rPr>
              <w:t xml:space="preserve">Required reading: </w:t>
            </w:r>
          </w:p>
          <w:p w14:paraId="727EF4F5" w14:textId="77777777" w:rsidR="002D462A" w:rsidRPr="001C1117" w:rsidRDefault="002D462A" w:rsidP="000327B7">
            <w:pPr>
              <w:spacing w:after="0"/>
              <w:rPr>
                <w:rFonts w:ascii="Garamond" w:hAnsi="Garamond"/>
                <w:lang w:val="en-GB"/>
              </w:rPr>
            </w:pPr>
            <w:r w:rsidRPr="001C1117">
              <w:rPr>
                <w:rFonts w:ascii="Garamond" w:hAnsi="Garamond"/>
                <w:lang w:val="en-GB"/>
              </w:rPr>
              <w:t xml:space="preserve">Parts from (Chapter 14, 15, and 16 of Thomas </w:t>
            </w:r>
            <w:proofErr w:type="spellStart"/>
            <w:r w:rsidRPr="001C1117">
              <w:rPr>
                <w:rFonts w:ascii="Garamond" w:hAnsi="Garamond"/>
                <w:lang w:val="en-GB"/>
              </w:rPr>
              <w:t>Jech</w:t>
            </w:r>
            <w:proofErr w:type="spellEnd"/>
            <w:r w:rsidRPr="001C1117">
              <w:rPr>
                <w:rFonts w:ascii="Garamond" w:hAnsi="Garamond"/>
                <w:lang w:val="en-GB"/>
              </w:rPr>
              <w:t xml:space="preserve">), Set theory, Springer Monographs in Mathematics, Springer-Verlag, Berlin, 2003, The third millennium edition, revised and expanded, DOI: 10.1007/3-540-44761-x, MR 1940513. </w:t>
            </w:r>
          </w:p>
          <w:p w14:paraId="0B885D3C" w14:textId="77777777" w:rsidR="002D462A" w:rsidRPr="001C1117" w:rsidRDefault="002D462A" w:rsidP="000327B7">
            <w:pPr>
              <w:spacing w:after="0"/>
              <w:rPr>
                <w:rFonts w:ascii="Garamond" w:hAnsi="Garamond"/>
                <w:b/>
                <w:lang w:val="en-GB"/>
              </w:rPr>
            </w:pPr>
            <w:r w:rsidRPr="001C1117">
              <w:rPr>
                <w:rFonts w:ascii="Garamond" w:hAnsi="Garamond"/>
                <w:b/>
                <w:lang w:val="en-GB"/>
              </w:rPr>
              <w:t xml:space="preserve">Suggested further reading: </w:t>
            </w:r>
          </w:p>
          <w:p w14:paraId="096D6E96" w14:textId="77777777" w:rsidR="002D462A" w:rsidRPr="001C1117" w:rsidRDefault="002D462A" w:rsidP="000327B7">
            <w:pPr>
              <w:spacing w:after="0"/>
              <w:rPr>
                <w:rFonts w:ascii="Garamond" w:hAnsi="Garamond"/>
                <w:lang w:val="en-GB"/>
              </w:rPr>
            </w:pPr>
            <w:r w:rsidRPr="001C1117">
              <w:rPr>
                <w:rFonts w:ascii="Garamond" w:hAnsi="Garamond"/>
                <w:lang w:val="en-GB"/>
              </w:rPr>
              <w:t xml:space="preserve">(Chapter 7, and 8 of Kenneth </w:t>
            </w:r>
            <w:proofErr w:type="spellStart"/>
            <w:r w:rsidRPr="001C1117">
              <w:rPr>
                <w:rFonts w:ascii="Garamond" w:hAnsi="Garamond"/>
                <w:lang w:val="en-GB"/>
              </w:rPr>
              <w:t>Kunen</w:t>
            </w:r>
            <w:proofErr w:type="spellEnd"/>
            <w:r w:rsidRPr="001C1117">
              <w:rPr>
                <w:rFonts w:ascii="Garamond" w:hAnsi="Garamond"/>
                <w:lang w:val="en-GB"/>
              </w:rPr>
              <w:t xml:space="preserve">), Set theory, Studies in Logic and the Foundations of Mathematics, vol. 102, North-Holland Publishing Co., Amsterdam-New York, 1980, An introduction to independence proofs, DOI: 10.2307/2274070, MR 597342. </w:t>
            </w:r>
          </w:p>
          <w:p w14:paraId="46383547" w14:textId="77777777" w:rsidR="002D462A" w:rsidRPr="001C1117" w:rsidRDefault="002D462A" w:rsidP="000327B7">
            <w:pPr>
              <w:spacing w:after="0"/>
              <w:rPr>
                <w:rFonts w:ascii="Garamond" w:hAnsi="Garamond"/>
                <w:lang w:val="en-GB"/>
              </w:rPr>
            </w:pPr>
            <w:r w:rsidRPr="001C1117">
              <w:rPr>
                <w:rFonts w:ascii="Garamond" w:hAnsi="Garamond"/>
                <w:b/>
                <w:lang w:val="en-GB"/>
              </w:rPr>
              <w:t xml:space="preserve">Note: </w:t>
            </w:r>
            <w:r w:rsidRPr="001C1117">
              <w:rPr>
                <w:rFonts w:ascii="Garamond" w:hAnsi="Garamond"/>
                <w:lang w:val="en-GB"/>
              </w:rPr>
              <w:t xml:space="preserve">There are a lot of terminological differences between the contents of the above two mentioned books. </w:t>
            </w:r>
          </w:p>
        </w:tc>
      </w:tr>
    </w:tbl>
    <w:p w14:paraId="6143F2EE" w14:textId="77777777" w:rsidR="002D462A" w:rsidRDefault="002D462A"/>
    <w:sectPr w:rsidR="002D4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serif"/>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2A"/>
    <w:rsid w:val="002D46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BD78"/>
  <w15:chartTrackingRefBased/>
  <w15:docId w15:val="{E4FF5B1C-2CF9-4823-A5F3-A61B936C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D462A"/>
    <w:rPr>
      <w:rFonts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1e1e1e1ble1e1e1e1zattartalom">
    <w:name w:val="Táe1e1e1e1bláe1e1e1e1zattartalom"/>
    <w:basedOn w:val="Norml"/>
    <w:rsid w:val="002D462A"/>
    <w:pPr>
      <w:suppressAutoHyphens/>
      <w:autoSpaceDE w:val="0"/>
      <w:autoSpaceDN w:val="0"/>
      <w:adjustRightInd w:val="0"/>
      <w:spacing w:after="200" w:line="276" w:lineRule="auto"/>
    </w:pPr>
    <w:rPr>
      <w:rFonts w:ascii="Calibri" w:eastAsia="Times New Roman" w:hAnsi="Liberation Serif" w:cs="Calibri"/>
      <w:color w:val="000000"/>
      <w:kern w:val="1"/>
      <w:lang w:eastAsia="hu-H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1234</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1</cp:revision>
  <dcterms:created xsi:type="dcterms:W3CDTF">2021-01-01T13:54:00Z</dcterms:created>
  <dcterms:modified xsi:type="dcterms:W3CDTF">2021-01-01T13:54:00Z</dcterms:modified>
</cp:coreProperties>
</file>