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B55A85" w:rsidRPr="001C1117" w14:paraId="0007ED5D" w14:textId="77777777" w:rsidTr="000327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D9AF" w14:textId="77777777" w:rsidR="00B55A85" w:rsidRPr="001C1117" w:rsidRDefault="00B55A85" w:rsidP="000327B7">
            <w:pPr>
              <w:spacing w:after="0"/>
              <w:rPr>
                <w:rFonts w:ascii="Garamond" w:hAnsi="Garamond" w:cs="Times New Roman"/>
                <w:lang w:val="en-GB"/>
              </w:rPr>
            </w:pPr>
            <w:r w:rsidRPr="001C1117">
              <w:rPr>
                <w:rFonts w:ascii="Garamond" w:hAnsi="Garamond" w:cs="Times New Roman"/>
                <w:lang w:val="en-GB"/>
              </w:rPr>
              <w:t xml:space="preserve">Code of course: </w:t>
            </w:r>
            <w:r w:rsidRPr="001C1117">
              <w:rPr>
                <w:rFonts w:ascii="Garamond" w:hAnsi="Garamond" w:cs="Times New Roman"/>
                <w:b/>
                <w:bCs/>
                <w:lang w:val="en-GB"/>
              </w:rPr>
              <w:t>BMI-LOTD-317E.02</w:t>
            </w:r>
            <w:r>
              <w:rPr>
                <w:rFonts w:ascii="Garamond" w:hAnsi="Garamond" w:cs="Times New Roman"/>
                <w:b/>
                <w:bCs/>
                <w:lang w:val="en-GB"/>
              </w:rPr>
              <w:t xml:space="preserve">, </w:t>
            </w:r>
            <w:r w:rsidRPr="00C32503">
              <w:rPr>
                <w:rFonts w:ascii="Garamond" w:hAnsi="Garamond"/>
                <w:b/>
                <w:bCs/>
              </w:rPr>
              <w:t>BMA-LOTD-317.02</w:t>
            </w:r>
          </w:p>
        </w:tc>
      </w:tr>
      <w:tr w:rsidR="00B55A85" w:rsidRPr="001C1117" w14:paraId="19DD96E3" w14:textId="77777777" w:rsidTr="000327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B3A5" w14:textId="77777777" w:rsidR="00B55A85" w:rsidRPr="001C1117" w:rsidRDefault="00B55A85" w:rsidP="000327B7">
            <w:pPr>
              <w:spacing w:after="0"/>
              <w:rPr>
                <w:rFonts w:ascii="Garamond" w:hAnsi="Garamond" w:cs="Times New Roman"/>
                <w:lang w:val="en-GB"/>
              </w:rPr>
            </w:pPr>
            <w:r w:rsidRPr="001C1117">
              <w:rPr>
                <w:rFonts w:ascii="Garamond" w:hAnsi="Garamond" w:cs="Times New Roman"/>
                <w:lang w:val="en-GB"/>
              </w:rPr>
              <w:t xml:space="preserve">Title of course: </w:t>
            </w:r>
            <w:r w:rsidRPr="001C1117">
              <w:rPr>
                <w:rFonts w:ascii="Garamond" w:hAnsi="Garamond" w:cs="Times New Roman"/>
                <w:b/>
                <w:bCs/>
                <w:lang w:val="en-GB"/>
              </w:rPr>
              <w:t>Gödel's Incompleteness Theorems</w:t>
            </w:r>
          </w:p>
        </w:tc>
      </w:tr>
      <w:tr w:rsidR="00B55A85" w:rsidRPr="001C1117" w14:paraId="3F0E620E" w14:textId="77777777" w:rsidTr="000327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50B0" w14:textId="77777777" w:rsidR="00B55A85" w:rsidRPr="001C1117" w:rsidRDefault="00B55A85" w:rsidP="000327B7">
            <w:pPr>
              <w:suppressAutoHyphens/>
              <w:spacing w:after="0"/>
              <w:rPr>
                <w:rFonts w:ascii="Garamond" w:hAnsi="Garamond" w:cs="Calibri"/>
                <w:lang w:val="en-GB"/>
              </w:rPr>
            </w:pPr>
            <w:r w:rsidRPr="001C1117">
              <w:rPr>
                <w:rFonts w:ascii="Garamond" w:hAnsi="Garamond"/>
                <w:lang w:val="en-GB"/>
              </w:rPr>
              <w:t xml:space="preserve">Lecturer: </w:t>
            </w:r>
            <w:r w:rsidRPr="001C1117">
              <w:rPr>
                <w:rFonts w:ascii="Garamond" w:hAnsi="Garamond"/>
                <w:b/>
                <w:bCs/>
                <w:lang w:val="en-GB"/>
              </w:rPr>
              <w:t>András Máté</w:t>
            </w:r>
          </w:p>
        </w:tc>
      </w:tr>
      <w:tr w:rsidR="00B55A85" w:rsidRPr="001C1117" w14:paraId="3C7B0565" w14:textId="77777777" w:rsidTr="000327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7F11" w14:textId="77777777" w:rsidR="00B55A85" w:rsidRPr="001C1117" w:rsidRDefault="00B55A85" w:rsidP="000327B7">
            <w:pPr>
              <w:spacing w:after="0"/>
              <w:rPr>
                <w:rFonts w:ascii="Garamond" w:hAnsi="Garamond"/>
                <w:b/>
                <w:lang w:val="en-GB"/>
              </w:rPr>
            </w:pPr>
            <w:r w:rsidRPr="001C1117">
              <w:rPr>
                <w:rFonts w:ascii="Garamond" w:hAnsi="Garamond"/>
                <w:b/>
                <w:lang w:val="en-GB"/>
              </w:rPr>
              <w:t xml:space="preserve">General aim of the course: </w:t>
            </w:r>
          </w:p>
          <w:p w14:paraId="641B69B1" w14:textId="77777777" w:rsidR="00B55A85" w:rsidRPr="001C1117" w:rsidRDefault="00B55A85" w:rsidP="000327B7">
            <w:pPr>
              <w:spacing w:after="0"/>
              <w:rPr>
                <w:rFonts w:ascii="Garamond" w:hAnsi="Garamond"/>
                <w:bCs/>
                <w:lang w:val="en-GB"/>
              </w:rPr>
            </w:pPr>
            <w:r w:rsidRPr="001C1117">
              <w:rPr>
                <w:rFonts w:ascii="Garamond" w:hAnsi="Garamond"/>
                <w:bCs/>
                <w:lang w:val="en-GB"/>
              </w:rPr>
              <w:t>Competence in proving the central theorems of metalogic.</w:t>
            </w:r>
          </w:p>
          <w:p w14:paraId="0AB2A630" w14:textId="77777777" w:rsidR="00B55A85" w:rsidRPr="001C1117" w:rsidRDefault="00B55A85" w:rsidP="000327B7">
            <w:pPr>
              <w:pStyle w:val="Te1e1e1e1ble1e1e1e1zattartalom"/>
              <w:spacing w:after="0"/>
              <w:rPr>
                <w:rFonts w:ascii="Garamond" w:hAnsi="Garamond" w:cs="Times New Roman"/>
                <w:b/>
                <w:lang w:val="en-GB" w:eastAsia="en-US"/>
              </w:rPr>
            </w:pPr>
            <w:r w:rsidRPr="001C1117">
              <w:rPr>
                <w:rFonts w:ascii="Garamond" w:hAnsi="Garamond" w:cs="Times New Roman"/>
                <w:b/>
                <w:lang w:val="en-GB" w:eastAsia="en-US"/>
              </w:rPr>
              <w:t>Content of the course:</w:t>
            </w:r>
          </w:p>
          <w:p w14:paraId="029E2EB9" w14:textId="77777777" w:rsidR="00B55A85" w:rsidRPr="001C1117" w:rsidRDefault="00B55A85" w:rsidP="000327B7">
            <w:pPr>
              <w:pStyle w:val="Te1e1e1e1ble1e1e1e1zattartalom"/>
              <w:spacing w:after="0"/>
              <w:rPr>
                <w:rFonts w:ascii="Garamond" w:hAnsi="Garamond"/>
                <w:b/>
                <w:lang w:val="en-GB" w:eastAsia="en-US"/>
              </w:rPr>
            </w:pPr>
            <w:r w:rsidRPr="001C1117">
              <w:rPr>
                <w:rFonts w:ascii="Garamond" w:hAnsi="Garamond"/>
                <w:bCs/>
                <w:lang w:val="en-GB" w:eastAsia="en-US"/>
              </w:rPr>
              <w:t xml:space="preserve">The course will strictly follow Raymond </w:t>
            </w:r>
            <w:proofErr w:type="spellStart"/>
            <w:r w:rsidRPr="001C1117">
              <w:rPr>
                <w:rFonts w:ascii="Garamond" w:hAnsi="Garamond"/>
                <w:bCs/>
                <w:lang w:val="en-GB" w:eastAsia="en-US"/>
              </w:rPr>
              <w:t>Smullyan's</w:t>
            </w:r>
            <w:proofErr w:type="spellEnd"/>
            <w:r w:rsidRPr="001C1117">
              <w:rPr>
                <w:rFonts w:ascii="Garamond" w:hAnsi="Garamond"/>
                <w:bCs/>
                <w:lang w:val="en-GB" w:eastAsia="en-US"/>
              </w:rPr>
              <w:t xml:space="preserve"> book with the same title (details see below). The book investigates the theorems and some related theorems (Tarski, Shepherdson) in a rather broad and general framework. It contains several </w:t>
            </w:r>
            <w:proofErr w:type="spellStart"/>
            <w:r w:rsidRPr="001C1117">
              <w:rPr>
                <w:rFonts w:ascii="Garamond" w:hAnsi="Garamond"/>
                <w:bCs/>
                <w:lang w:val="en-GB" w:eastAsia="en-US"/>
              </w:rPr>
              <w:t>excercises</w:t>
            </w:r>
            <w:proofErr w:type="spellEnd"/>
            <w:r w:rsidRPr="001C1117">
              <w:rPr>
                <w:rFonts w:ascii="Garamond" w:hAnsi="Garamond"/>
                <w:bCs/>
                <w:lang w:val="en-GB" w:eastAsia="en-US"/>
              </w:rPr>
              <w:t xml:space="preserve"> that are substantial to the understanding. The classes will usually begin with solving some of these </w:t>
            </w:r>
            <w:proofErr w:type="spellStart"/>
            <w:r w:rsidRPr="001C1117">
              <w:rPr>
                <w:rFonts w:ascii="Garamond" w:hAnsi="Garamond"/>
                <w:bCs/>
                <w:lang w:val="en-GB" w:eastAsia="en-US"/>
              </w:rPr>
              <w:t>excercises</w:t>
            </w:r>
            <w:proofErr w:type="spellEnd"/>
            <w:r w:rsidRPr="001C1117">
              <w:rPr>
                <w:rFonts w:ascii="Garamond" w:hAnsi="Garamond"/>
                <w:bCs/>
                <w:lang w:val="en-GB" w:eastAsia="en-US"/>
              </w:rPr>
              <w:t xml:space="preserve"> specified at the previous class.</w:t>
            </w:r>
            <w:r w:rsidRPr="001C1117">
              <w:rPr>
                <w:rFonts w:ascii="Garamond" w:hAnsi="Garamond"/>
                <w:b/>
                <w:lang w:val="en-GB" w:eastAsia="en-US"/>
              </w:rPr>
              <w:br/>
              <w:t>Grading criteria, specific requirements:</w:t>
            </w:r>
          </w:p>
          <w:p w14:paraId="097313ED" w14:textId="77777777" w:rsidR="00B55A85" w:rsidRPr="001C1117" w:rsidRDefault="00B55A85" w:rsidP="000327B7">
            <w:pPr>
              <w:pStyle w:val="Te1e1e1e1ble1e1e1e1zattartalom"/>
              <w:spacing w:after="0"/>
              <w:rPr>
                <w:rFonts w:ascii="Garamond" w:hAnsi="Garamond"/>
                <w:bCs/>
                <w:lang w:val="en-GB" w:eastAsia="en-US"/>
              </w:rPr>
            </w:pPr>
            <w:r w:rsidRPr="001C1117">
              <w:rPr>
                <w:rFonts w:ascii="Garamond" w:hAnsi="Garamond"/>
                <w:bCs/>
                <w:lang w:val="en-GB" w:eastAsia="en-US"/>
              </w:rPr>
              <w:t xml:space="preserve">Knowledge of classical first-order logic is a prerequisite. </w:t>
            </w:r>
            <w:r w:rsidRPr="001C1117">
              <w:rPr>
                <w:rFonts w:ascii="Garamond" w:hAnsi="Garamond"/>
                <w:bCs/>
                <w:lang w:val="en-GB" w:eastAsia="en-US"/>
              </w:rPr>
              <w:br/>
              <w:t xml:space="preserve">The mark will depend on the student’s </w:t>
            </w:r>
            <w:proofErr w:type="spellStart"/>
            <w:r w:rsidRPr="001C1117">
              <w:rPr>
                <w:rFonts w:ascii="Garamond" w:hAnsi="Garamond"/>
                <w:bCs/>
                <w:lang w:val="en-GB" w:eastAsia="en-US"/>
              </w:rPr>
              <w:t>achivement</w:t>
            </w:r>
            <w:proofErr w:type="spellEnd"/>
            <w:r w:rsidRPr="001C1117">
              <w:rPr>
                <w:rFonts w:ascii="Garamond" w:hAnsi="Garamond"/>
                <w:bCs/>
                <w:lang w:val="en-GB" w:eastAsia="en-US"/>
              </w:rPr>
              <w:t xml:space="preserve"> in </w:t>
            </w:r>
            <w:proofErr w:type="spellStart"/>
            <w:r w:rsidRPr="001C1117">
              <w:rPr>
                <w:rFonts w:ascii="Garamond" w:hAnsi="Garamond"/>
                <w:bCs/>
                <w:lang w:val="en-GB" w:eastAsia="en-US"/>
              </w:rPr>
              <w:t>excercise</w:t>
            </w:r>
            <w:proofErr w:type="spellEnd"/>
            <w:r w:rsidRPr="001C1117">
              <w:rPr>
                <w:rFonts w:ascii="Garamond" w:hAnsi="Garamond"/>
                <w:bCs/>
                <w:lang w:val="en-GB" w:eastAsia="en-US"/>
              </w:rPr>
              <w:t xml:space="preserve"> solving.</w:t>
            </w:r>
          </w:p>
          <w:p w14:paraId="1ED01EBA" w14:textId="77777777" w:rsidR="00B55A85" w:rsidRPr="001C1117" w:rsidRDefault="00B55A85" w:rsidP="000327B7">
            <w:pPr>
              <w:spacing w:after="0"/>
              <w:rPr>
                <w:rFonts w:ascii="Garamond" w:hAnsi="Garamond"/>
                <w:b/>
                <w:lang w:val="en-GB"/>
              </w:rPr>
            </w:pPr>
            <w:r w:rsidRPr="001C1117">
              <w:rPr>
                <w:rFonts w:ascii="Garamond" w:hAnsi="Garamond"/>
                <w:b/>
                <w:lang w:val="en-GB"/>
              </w:rPr>
              <w:t>Required reading:</w:t>
            </w:r>
          </w:p>
          <w:p w14:paraId="313795CF" w14:textId="77777777" w:rsidR="00B55A85" w:rsidRPr="001C1117" w:rsidRDefault="00B55A85" w:rsidP="000327B7">
            <w:pPr>
              <w:spacing w:after="0"/>
              <w:rPr>
                <w:rFonts w:ascii="Garamond" w:hAnsi="Garamond"/>
                <w:bCs/>
                <w:lang w:val="en-GB"/>
              </w:rPr>
            </w:pPr>
            <w:r w:rsidRPr="001C1117">
              <w:rPr>
                <w:rFonts w:ascii="Garamond" w:hAnsi="Garamond"/>
                <w:bCs/>
                <w:lang w:val="en-GB"/>
              </w:rPr>
              <w:t xml:space="preserve">Raymond M. </w:t>
            </w:r>
            <w:proofErr w:type="spellStart"/>
            <w:r w:rsidRPr="001C1117">
              <w:rPr>
                <w:rFonts w:ascii="Garamond" w:hAnsi="Garamond"/>
                <w:bCs/>
                <w:lang w:val="en-GB"/>
              </w:rPr>
              <w:t>Smullyan</w:t>
            </w:r>
            <w:proofErr w:type="spellEnd"/>
            <w:r w:rsidRPr="001C1117">
              <w:rPr>
                <w:rFonts w:ascii="Garamond" w:hAnsi="Garamond"/>
                <w:bCs/>
                <w:lang w:val="en-GB"/>
              </w:rPr>
              <w:t>, Gödel's Incompleteness Theorems. Oxford-New York: Oxford University Press, 1992.</w:t>
            </w:r>
          </w:p>
        </w:tc>
      </w:tr>
    </w:tbl>
    <w:p w14:paraId="16E5E99A" w14:textId="77777777" w:rsidR="00B55A85" w:rsidRDefault="00B55A85"/>
    <w:sectPr w:rsidR="00B5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85"/>
    <w:rsid w:val="00B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4B72"/>
  <w15:chartTrackingRefBased/>
  <w15:docId w15:val="{4FDFB09E-9023-4FAE-9EF4-3E5906BB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5A85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1e1e1e1ble1e1e1e1zattartalom">
    <w:name w:val="Táe1e1e1e1bláe1e1e1e1zattartalom"/>
    <w:basedOn w:val="Norml"/>
    <w:rsid w:val="00B55A85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kern w:val="1"/>
      <w:lang w:eastAsia="hu-H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808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Szlancsok Margit</dc:creator>
  <cp:keywords/>
  <dc:description/>
  <cp:lastModifiedBy>Szlancsok Margit</cp:lastModifiedBy>
  <cp:revision>1</cp:revision>
  <dcterms:created xsi:type="dcterms:W3CDTF">2021-01-01T13:34:00Z</dcterms:created>
  <dcterms:modified xsi:type="dcterms:W3CDTF">2021-01-01T13:35:00Z</dcterms:modified>
</cp:coreProperties>
</file>